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CF" w:rsidRPr="00684A2B" w:rsidRDefault="00132BCF" w:rsidP="00132BCF">
      <w:pPr>
        <w:bidi w:val="0"/>
        <w:spacing w:line="360" w:lineRule="auto"/>
        <w:ind w:left="25"/>
        <w:rPr>
          <w:rFonts w:asciiTheme="majorBidi" w:hAnsiTheme="majorBidi" w:cstheme="majorBidi"/>
          <w:b/>
          <w:bCs/>
          <w:sz w:val="32"/>
          <w:szCs w:val="32"/>
        </w:rPr>
      </w:pPr>
      <w:r>
        <w:rPr>
          <w:rFonts w:asciiTheme="majorBidi" w:hAnsiTheme="majorBidi" w:cstheme="majorBidi"/>
          <w:b/>
          <w:bCs/>
          <w:sz w:val="32"/>
          <w:szCs w:val="32"/>
        </w:rPr>
        <w:t>D</w:t>
      </w:r>
      <w:r w:rsidRPr="00684A2B">
        <w:rPr>
          <w:rFonts w:asciiTheme="majorBidi" w:hAnsiTheme="majorBidi" w:cstheme="majorBidi"/>
          <w:b/>
          <w:bCs/>
          <w:sz w:val="32"/>
          <w:szCs w:val="32"/>
        </w:rPr>
        <w:t>oes Financial Regulation Unintentionally Ignore Less Privileged Populations? T</w:t>
      </w:r>
      <w:r w:rsidRPr="00BA592D">
        <w:rPr>
          <w:rFonts w:asciiTheme="majorBidi" w:hAnsiTheme="majorBidi" w:cstheme="majorBidi"/>
          <w:b/>
          <w:bCs/>
          <w:sz w:val="32"/>
          <w:szCs w:val="32"/>
        </w:rPr>
        <w:t xml:space="preserve">he </w:t>
      </w:r>
      <w:r>
        <w:rPr>
          <w:rFonts w:asciiTheme="majorBidi" w:hAnsiTheme="majorBidi" w:cstheme="majorBidi"/>
          <w:b/>
          <w:bCs/>
          <w:sz w:val="32"/>
          <w:szCs w:val="32"/>
        </w:rPr>
        <w:t>I</w:t>
      </w:r>
      <w:r w:rsidRPr="00684A2B">
        <w:rPr>
          <w:rFonts w:asciiTheme="majorBidi" w:hAnsiTheme="majorBidi" w:cstheme="majorBidi"/>
          <w:b/>
          <w:bCs/>
          <w:sz w:val="32"/>
          <w:szCs w:val="32"/>
        </w:rPr>
        <w:t xml:space="preserve">nvestigation of </w:t>
      </w:r>
      <w:r>
        <w:rPr>
          <w:rFonts w:asciiTheme="majorBidi" w:hAnsiTheme="majorBidi" w:cstheme="majorBidi"/>
          <w:b/>
          <w:bCs/>
          <w:sz w:val="32"/>
          <w:szCs w:val="32"/>
        </w:rPr>
        <w:t xml:space="preserve">a Regulatory Fintech Advancement, </w:t>
      </w:r>
      <w:r w:rsidRPr="000E4336">
        <w:rPr>
          <w:rFonts w:asciiTheme="majorBidi" w:hAnsiTheme="majorBidi" w:cstheme="majorBidi"/>
          <w:b/>
          <w:bCs/>
          <w:sz w:val="32"/>
          <w:szCs w:val="32"/>
        </w:rPr>
        <w:t xml:space="preserve">Objective </w:t>
      </w:r>
      <w:r>
        <w:rPr>
          <w:rFonts w:asciiTheme="majorBidi" w:hAnsiTheme="majorBidi" w:cstheme="majorBidi"/>
          <w:b/>
          <w:bCs/>
          <w:sz w:val="32"/>
          <w:szCs w:val="32"/>
        </w:rPr>
        <w:t>and</w:t>
      </w:r>
      <w:r w:rsidRPr="000E4336">
        <w:rPr>
          <w:rFonts w:asciiTheme="majorBidi" w:hAnsiTheme="majorBidi" w:cstheme="majorBidi"/>
          <w:b/>
          <w:bCs/>
          <w:sz w:val="32"/>
          <w:szCs w:val="32"/>
        </w:rPr>
        <w:t xml:space="preserve"> Subjective Financial Literacy</w:t>
      </w:r>
    </w:p>
    <w:p w:rsidR="00132BCF" w:rsidRDefault="00132BCF" w:rsidP="00132BCF">
      <w:pPr>
        <w:pStyle w:val="a8"/>
        <w:spacing w:line="360" w:lineRule="auto"/>
        <w:rPr>
          <w:rFonts w:asciiTheme="majorBidi" w:hAnsiTheme="majorBidi" w:cstheme="majorBidi"/>
          <w:vertAlign w:val="superscript"/>
        </w:rPr>
      </w:pPr>
      <w:r w:rsidRPr="00FC05DE">
        <w:rPr>
          <w:rFonts w:asciiTheme="majorBidi" w:hAnsiTheme="majorBidi" w:cstheme="majorBidi"/>
        </w:rPr>
        <w:t xml:space="preserve">Maya Haran </w:t>
      </w:r>
      <w:proofErr w:type="spellStart"/>
      <w:r w:rsidRPr="00FC05DE">
        <w:rPr>
          <w:rFonts w:asciiTheme="majorBidi" w:hAnsiTheme="majorBidi" w:cstheme="majorBidi"/>
        </w:rPr>
        <w:t>Rosen</w:t>
      </w:r>
      <w:r>
        <w:rPr>
          <w:rFonts w:asciiTheme="majorBidi" w:hAnsiTheme="majorBidi" w:cstheme="majorBidi"/>
          <w:vertAlign w:val="superscript"/>
        </w:rPr>
        <w:t>a</w:t>
      </w:r>
      <w:proofErr w:type="gramStart"/>
      <w:r>
        <w:rPr>
          <w:rFonts w:asciiTheme="majorBidi" w:hAnsiTheme="majorBidi" w:cstheme="majorBidi"/>
          <w:vertAlign w:val="superscript"/>
        </w:rPr>
        <w:t>,b</w:t>
      </w:r>
      <w:proofErr w:type="spellEnd"/>
      <w:proofErr w:type="gramEnd"/>
      <w:r w:rsidRPr="00FC05DE">
        <w:rPr>
          <w:rFonts w:asciiTheme="majorBidi" w:hAnsiTheme="majorBidi" w:cstheme="majorBidi"/>
          <w:vertAlign w:val="superscript"/>
        </w:rPr>
        <w:t>†</w:t>
      </w:r>
      <w:r w:rsidRPr="00FC05DE">
        <w:rPr>
          <w:rFonts w:asciiTheme="majorBidi" w:hAnsiTheme="majorBidi" w:cstheme="majorBidi"/>
        </w:rPr>
        <w:t xml:space="preserve"> and Orly Sade</w:t>
      </w:r>
      <w:r w:rsidRPr="00673DB3">
        <w:rPr>
          <w:rStyle w:val="a5"/>
          <w:rFonts w:asciiTheme="majorBidi" w:hAnsiTheme="majorBidi" w:cstheme="majorBidi"/>
          <w:color w:val="FFFFFF" w:themeColor="background1"/>
          <w:sz w:val="2"/>
          <w:szCs w:val="2"/>
        </w:rPr>
        <w:footnoteReference w:id="1"/>
      </w:r>
      <w:r w:rsidRPr="00673DB3">
        <w:rPr>
          <w:rFonts w:asciiTheme="majorBidi" w:hAnsiTheme="majorBidi" w:cstheme="majorBidi"/>
          <w:color w:val="FFFFFF" w:themeColor="background1"/>
          <w:vertAlign w:val="superscript"/>
        </w:rPr>
        <w:t xml:space="preserve"> </w:t>
      </w:r>
      <w:proofErr w:type="spellStart"/>
      <w:r>
        <w:rPr>
          <w:rFonts w:asciiTheme="majorBidi" w:hAnsiTheme="majorBidi" w:cstheme="majorBidi"/>
          <w:vertAlign w:val="superscript"/>
        </w:rPr>
        <w:t>a,c</w:t>
      </w:r>
      <w:proofErr w:type="spellEnd"/>
      <w:r w:rsidRPr="00FC05DE">
        <w:rPr>
          <w:rFonts w:asciiTheme="majorBidi" w:hAnsiTheme="majorBidi" w:cstheme="majorBidi"/>
          <w:vertAlign w:val="superscript"/>
        </w:rPr>
        <w:t>†</w:t>
      </w:r>
    </w:p>
    <w:p w:rsidR="00132BCF" w:rsidRPr="004F17A6" w:rsidRDefault="00132BCF" w:rsidP="00132BCF">
      <w:pPr>
        <w:pStyle w:val="a8"/>
        <w:spacing w:line="360" w:lineRule="auto"/>
        <w:rPr>
          <w:rFonts w:asciiTheme="majorBidi" w:hAnsiTheme="majorBidi" w:cstheme="majorBidi"/>
          <w:sz w:val="20"/>
          <w:szCs w:val="20"/>
          <w:vertAlign w:val="superscript"/>
        </w:rPr>
      </w:pPr>
      <w:proofErr w:type="gramStart"/>
      <w:r w:rsidRPr="004F17A6">
        <w:rPr>
          <w:rFonts w:asciiTheme="majorBidi" w:hAnsiTheme="majorBidi" w:cstheme="majorBidi"/>
          <w:sz w:val="20"/>
          <w:szCs w:val="20"/>
          <w:vertAlign w:val="superscript"/>
        </w:rPr>
        <w:t>a</w:t>
      </w:r>
      <w:proofErr w:type="gramEnd"/>
      <w:r>
        <w:rPr>
          <w:rFonts w:asciiTheme="majorBidi" w:hAnsiTheme="majorBidi" w:cstheme="majorBidi"/>
          <w:sz w:val="20"/>
          <w:szCs w:val="20"/>
        </w:rPr>
        <w:t xml:space="preserve"> </w:t>
      </w:r>
      <w:r w:rsidRPr="004F17A6">
        <w:rPr>
          <w:rFonts w:asciiTheme="majorBidi" w:hAnsiTheme="majorBidi" w:cstheme="majorBidi"/>
          <w:sz w:val="20"/>
          <w:szCs w:val="20"/>
        </w:rPr>
        <w:t>Finance Department, Business School, The Hebrew University of Jerusalem</w:t>
      </w:r>
      <w:r>
        <w:rPr>
          <w:rFonts w:asciiTheme="majorBidi" w:hAnsiTheme="majorBidi" w:cstheme="majorBidi"/>
          <w:sz w:val="20"/>
          <w:szCs w:val="20"/>
        </w:rPr>
        <w:t>, Israel</w:t>
      </w:r>
    </w:p>
    <w:p w:rsidR="00132BCF" w:rsidRDefault="00132BCF" w:rsidP="00132BCF">
      <w:pPr>
        <w:pStyle w:val="a8"/>
        <w:spacing w:line="360" w:lineRule="auto"/>
        <w:rPr>
          <w:rFonts w:asciiTheme="majorBidi" w:hAnsiTheme="majorBidi" w:cstheme="majorBidi"/>
          <w:sz w:val="20"/>
          <w:szCs w:val="20"/>
        </w:rPr>
      </w:pPr>
      <w:proofErr w:type="gramStart"/>
      <w:r w:rsidRPr="004F17A6">
        <w:rPr>
          <w:rFonts w:asciiTheme="majorBidi" w:hAnsiTheme="majorBidi" w:cstheme="majorBidi"/>
          <w:sz w:val="20"/>
          <w:szCs w:val="20"/>
          <w:vertAlign w:val="superscript"/>
        </w:rPr>
        <w:t>b</w:t>
      </w:r>
      <w:proofErr w:type="gramEnd"/>
      <w:r>
        <w:rPr>
          <w:rFonts w:asciiTheme="majorBidi" w:hAnsiTheme="majorBidi" w:cstheme="majorBidi"/>
          <w:sz w:val="20"/>
          <w:szCs w:val="20"/>
        </w:rPr>
        <w:t xml:space="preserve"> </w:t>
      </w:r>
      <w:r w:rsidRPr="004F17A6">
        <w:rPr>
          <w:rFonts w:asciiTheme="majorBidi" w:hAnsiTheme="majorBidi" w:cstheme="majorBidi"/>
          <w:sz w:val="20"/>
          <w:szCs w:val="20"/>
        </w:rPr>
        <w:t>The Bank of Israel, P.O</w:t>
      </w:r>
      <w:r>
        <w:rPr>
          <w:rFonts w:asciiTheme="majorBidi" w:hAnsiTheme="majorBidi" w:cstheme="majorBidi"/>
          <w:sz w:val="20"/>
          <w:szCs w:val="20"/>
        </w:rPr>
        <w:t>.</w:t>
      </w:r>
      <w:r w:rsidRPr="004F17A6">
        <w:rPr>
          <w:rFonts w:asciiTheme="majorBidi" w:hAnsiTheme="majorBidi" w:cstheme="majorBidi"/>
          <w:sz w:val="20"/>
          <w:szCs w:val="20"/>
        </w:rPr>
        <w:t xml:space="preserve"> </w:t>
      </w:r>
      <w:r>
        <w:rPr>
          <w:rFonts w:asciiTheme="majorBidi" w:hAnsiTheme="majorBidi" w:cstheme="majorBidi"/>
          <w:sz w:val="20"/>
          <w:szCs w:val="20"/>
        </w:rPr>
        <w:t>B</w:t>
      </w:r>
      <w:r w:rsidRPr="004F17A6">
        <w:rPr>
          <w:rFonts w:asciiTheme="majorBidi" w:hAnsiTheme="majorBidi" w:cstheme="majorBidi"/>
          <w:sz w:val="20"/>
          <w:szCs w:val="20"/>
        </w:rPr>
        <w:t>ox 780, Jerusalem 91007, Israel</w:t>
      </w:r>
    </w:p>
    <w:p w:rsidR="00132BCF" w:rsidRPr="004F17A6" w:rsidRDefault="00132BCF" w:rsidP="00132BCF">
      <w:pPr>
        <w:pStyle w:val="a8"/>
        <w:spacing w:line="360" w:lineRule="auto"/>
        <w:rPr>
          <w:rFonts w:asciiTheme="majorBidi" w:hAnsiTheme="majorBidi" w:cstheme="majorBidi"/>
          <w:sz w:val="20"/>
          <w:szCs w:val="20"/>
        </w:rPr>
      </w:pPr>
      <w:proofErr w:type="gramStart"/>
      <w:r>
        <w:rPr>
          <w:rFonts w:asciiTheme="majorBidi" w:hAnsiTheme="majorBidi" w:cstheme="majorBidi"/>
          <w:sz w:val="20"/>
          <w:szCs w:val="20"/>
          <w:vertAlign w:val="superscript"/>
        </w:rPr>
        <w:t>c</w:t>
      </w:r>
      <w:proofErr w:type="gramEnd"/>
      <w:r>
        <w:rPr>
          <w:rFonts w:asciiTheme="majorBidi" w:hAnsiTheme="majorBidi" w:cstheme="majorBidi"/>
          <w:sz w:val="20"/>
          <w:szCs w:val="20"/>
          <w:vertAlign w:val="superscript"/>
        </w:rPr>
        <w:t xml:space="preserve"> </w:t>
      </w:r>
      <w:r>
        <w:rPr>
          <w:rFonts w:asciiTheme="majorBidi" w:hAnsiTheme="majorBidi" w:cstheme="majorBidi"/>
          <w:sz w:val="20"/>
          <w:szCs w:val="20"/>
        </w:rPr>
        <w:t xml:space="preserve">Finance Department, Stern School of Business, NYU </w:t>
      </w:r>
    </w:p>
    <w:p w:rsidR="00132BCF" w:rsidRPr="00FC05DE" w:rsidRDefault="00132BCF" w:rsidP="00132BCF">
      <w:pPr>
        <w:bidi w:val="0"/>
        <w:spacing w:after="0" w:line="360" w:lineRule="auto"/>
        <w:rPr>
          <w:rFonts w:asciiTheme="majorBidi" w:hAnsiTheme="majorBidi" w:cstheme="majorBidi"/>
          <w:sz w:val="24"/>
          <w:szCs w:val="24"/>
        </w:rPr>
      </w:pPr>
      <w:r>
        <w:rPr>
          <w:rFonts w:asciiTheme="majorBidi" w:hAnsiTheme="majorBidi" w:cstheme="majorBidi"/>
          <w:sz w:val="24"/>
          <w:szCs w:val="24"/>
        </w:rPr>
        <w:t>January 2019</w:t>
      </w:r>
    </w:p>
    <w:p w:rsidR="00132BCF" w:rsidRPr="00FC05DE" w:rsidRDefault="00132BCF" w:rsidP="00132BCF">
      <w:pPr>
        <w:pStyle w:val="2"/>
        <w:numPr>
          <w:ilvl w:val="0"/>
          <w:numId w:val="0"/>
        </w:numPr>
        <w:jc w:val="left"/>
      </w:pPr>
      <w:r w:rsidRPr="00FC05DE">
        <w:t>Abstract</w:t>
      </w:r>
    </w:p>
    <w:p w:rsidR="00132BCF" w:rsidRDefault="00132BCF" w:rsidP="00132BCF">
      <w:pPr>
        <w:bidi w:val="0"/>
        <w:spacing w:line="360" w:lineRule="auto"/>
        <w:rPr>
          <w:rFonts w:asciiTheme="majorBidi" w:hAnsiTheme="majorBidi" w:cstheme="majorBidi"/>
          <w:sz w:val="24"/>
          <w:szCs w:val="24"/>
          <w:rtl/>
        </w:rPr>
      </w:pPr>
      <w:r>
        <w:rPr>
          <w:rFonts w:asciiTheme="majorBidi" w:hAnsiTheme="majorBidi" w:cstheme="majorBidi"/>
          <w:sz w:val="24"/>
          <w:szCs w:val="24"/>
        </w:rPr>
        <w:t xml:space="preserve">Define contribution mechanism combined with a dynamic job market can affect the sum of retirement savings and the choices of plans and products. Hence, it is important for regulators to engage savers to manage the accounts they </w:t>
      </w:r>
      <w:r>
        <w:rPr>
          <w:rFonts w:asciiTheme="majorBidi" w:hAnsiTheme="majorBidi" w:cstheme="majorBidi"/>
          <w:sz w:val="24"/>
          <w:szCs w:val="24"/>
          <w:lang w:val="en-GB"/>
        </w:rPr>
        <w:t xml:space="preserve">accumulate over the years. </w:t>
      </w:r>
      <w:r>
        <w:rPr>
          <w:rFonts w:asciiTheme="majorBidi" w:hAnsiTheme="majorBidi" w:cstheme="majorBidi"/>
          <w:sz w:val="24"/>
          <w:szCs w:val="24"/>
        </w:rPr>
        <w:t>In 2013-2014 t</w:t>
      </w:r>
      <w:r w:rsidRPr="00FC05DE">
        <w:rPr>
          <w:rFonts w:asciiTheme="majorBidi" w:hAnsiTheme="majorBidi" w:cstheme="majorBidi"/>
          <w:sz w:val="24"/>
          <w:szCs w:val="24"/>
        </w:rPr>
        <w:t>he Israeli regulator reached out to the population</w:t>
      </w:r>
      <w:r>
        <w:rPr>
          <w:rFonts w:asciiTheme="majorBidi" w:hAnsiTheme="majorBidi" w:cstheme="majorBidi"/>
          <w:sz w:val="24"/>
          <w:szCs w:val="24"/>
        </w:rPr>
        <w:t xml:space="preserve">, recommending the use of a website to </w:t>
      </w:r>
      <w:r w:rsidRPr="00FC05DE">
        <w:rPr>
          <w:rFonts w:asciiTheme="majorBidi" w:hAnsiTheme="majorBidi" w:cstheme="majorBidi"/>
          <w:sz w:val="24"/>
          <w:szCs w:val="24"/>
        </w:rPr>
        <w:t xml:space="preserve">help individuals find inactive </w:t>
      </w:r>
      <w:r>
        <w:rPr>
          <w:rFonts w:asciiTheme="majorBidi" w:hAnsiTheme="majorBidi" w:cstheme="majorBidi"/>
          <w:sz w:val="24"/>
          <w:szCs w:val="24"/>
        </w:rPr>
        <w:t xml:space="preserve">retirement savings accounts </w:t>
      </w:r>
      <w:r w:rsidRPr="00FC05DE">
        <w:rPr>
          <w:rFonts w:asciiTheme="majorBidi" w:hAnsiTheme="majorBidi" w:cstheme="majorBidi"/>
          <w:sz w:val="24"/>
          <w:szCs w:val="24"/>
        </w:rPr>
        <w:t xml:space="preserve">and </w:t>
      </w:r>
      <w:r>
        <w:rPr>
          <w:rFonts w:asciiTheme="majorBidi" w:hAnsiTheme="majorBidi" w:cstheme="majorBidi"/>
          <w:sz w:val="24"/>
          <w:szCs w:val="24"/>
        </w:rPr>
        <w:t>close them (withdraw the savings or transfer them to active accounts).</w:t>
      </w:r>
      <w:r w:rsidRPr="00FC05DE">
        <w:rPr>
          <w:rFonts w:asciiTheme="majorBidi" w:hAnsiTheme="majorBidi" w:cstheme="majorBidi"/>
          <w:sz w:val="24"/>
          <w:szCs w:val="24"/>
        </w:rPr>
        <w:t xml:space="preserve"> </w:t>
      </w:r>
      <w:r>
        <w:rPr>
          <w:rFonts w:asciiTheme="majorBidi" w:hAnsiTheme="majorBidi" w:cstheme="majorBidi"/>
          <w:sz w:val="24"/>
          <w:szCs w:val="24"/>
        </w:rPr>
        <w:t>T</w:t>
      </w:r>
      <w:r w:rsidRPr="00FC05DE">
        <w:rPr>
          <w:rFonts w:asciiTheme="majorBidi" w:hAnsiTheme="majorBidi" w:cstheme="majorBidi"/>
          <w:sz w:val="24"/>
          <w:szCs w:val="24"/>
        </w:rPr>
        <w:t>he government</w:t>
      </w:r>
      <w:r>
        <w:rPr>
          <w:rFonts w:asciiTheme="majorBidi" w:hAnsiTheme="majorBidi" w:cstheme="majorBidi"/>
          <w:sz w:val="24"/>
          <w:szCs w:val="24"/>
        </w:rPr>
        <w:t>’</w:t>
      </w:r>
      <w:r w:rsidRPr="00FC05DE">
        <w:rPr>
          <w:rFonts w:asciiTheme="majorBidi" w:hAnsiTheme="majorBidi" w:cstheme="majorBidi"/>
          <w:sz w:val="24"/>
          <w:szCs w:val="24"/>
        </w:rPr>
        <w:t>s effort</w:t>
      </w:r>
      <w:r>
        <w:rPr>
          <w:rFonts w:asciiTheme="majorBidi" w:hAnsiTheme="majorBidi" w:cstheme="majorBidi"/>
          <w:sz w:val="24"/>
          <w:szCs w:val="24"/>
        </w:rPr>
        <w:t>s</w:t>
      </w:r>
      <w:r w:rsidRPr="00FC05DE">
        <w:rPr>
          <w:rFonts w:asciiTheme="majorBidi" w:hAnsiTheme="majorBidi" w:cstheme="majorBidi"/>
          <w:sz w:val="24"/>
          <w:szCs w:val="24"/>
        </w:rPr>
        <w:t xml:space="preserve"> did not result in </w:t>
      </w:r>
      <w:r>
        <w:rPr>
          <w:rFonts w:asciiTheme="majorBidi" w:hAnsiTheme="majorBidi" w:cstheme="majorBidi"/>
          <w:sz w:val="24"/>
          <w:szCs w:val="24"/>
        </w:rPr>
        <w:t>the closure of most of the inactive accounts</w:t>
      </w:r>
      <w:r w:rsidRPr="00FC05DE">
        <w:rPr>
          <w:rFonts w:asciiTheme="majorBidi" w:hAnsiTheme="majorBidi" w:cstheme="majorBidi"/>
          <w:sz w:val="24"/>
          <w:szCs w:val="24"/>
        </w:rPr>
        <w:t xml:space="preserve">. </w:t>
      </w:r>
      <w:r>
        <w:rPr>
          <w:rFonts w:asciiTheme="majorBidi" w:hAnsiTheme="majorBidi" w:cstheme="majorBidi"/>
          <w:sz w:val="24"/>
          <w:szCs w:val="24"/>
        </w:rPr>
        <w:t>P</w:t>
      </w:r>
      <w:r w:rsidRPr="00FC05DE">
        <w:rPr>
          <w:rFonts w:asciiTheme="majorBidi" w:hAnsiTheme="majorBidi" w:cstheme="majorBidi"/>
          <w:sz w:val="24"/>
          <w:szCs w:val="24"/>
        </w:rPr>
        <w:t xml:space="preserve">roprietary data indicate that those who </w:t>
      </w:r>
      <w:r>
        <w:rPr>
          <w:rFonts w:asciiTheme="majorBidi" w:hAnsiTheme="majorBidi" w:cstheme="majorBidi"/>
          <w:sz w:val="24"/>
          <w:szCs w:val="24"/>
        </w:rPr>
        <w:t xml:space="preserve">closed the inactive accounts </w:t>
      </w:r>
      <w:r w:rsidRPr="00FC05DE">
        <w:rPr>
          <w:rFonts w:asciiTheme="majorBidi" w:hAnsiTheme="majorBidi" w:cstheme="majorBidi"/>
          <w:sz w:val="24"/>
          <w:szCs w:val="24"/>
        </w:rPr>
        <w:t xml:space="preserve">live in </w:t>
      </w:r>
      <w:r>
        <w:rPr>
          <w:rFonts w:asciiTheme="majorBidi" w:hAnsiTheme="majorBidi" w:cstheme="majorBidi"/>
          <w:sz w:val="24"/>
          <w:szCs w:val="24"/>
        </w:rPr>
        <w:t>central locations</w:t>
      </w:r>
      <w:r w:rsidRPr="00FC05DE">
        <w:rPr>
          <w:rFonts w:asciiTheme="majorBidi" w:hAnsiTheme="majorBidi" w:cstheme="majorBidi"/>
          <w:sz w:val="24"/>
          <w:szCs w:val="24"/>
        </w:rPr>
        <w:t xml:space="preserve"> </w:t>
      </w:r>
      <w:r>
        <w:rPr>
          <w:rFonts w:asciiTheme="majorBidi" w:hAnsiTheme="majorBidi" w:cstheme="majorBidi"/>
          <w:sz w:val="24"/>
          <w:szCs w:val="24"/>
        </w:rPr>
        <w:t>with</w:t>
      </w:r>
      <w:r w:rsidRPr="00FC05DE">
        <w:rPr>
          <w:rFonts w:asciiTheme="majorBidi" w:hAnsiTheme="majorBidi" w:cstheme="majorBidi"/>
          <w:sz w:val="24"/>
          <w:szCs w:val="24"/>
        </w:rPr>
        <w:t xml:space="preserve"> </w:t>
      </w:r>
      <w:r>
        <w:rPr>
          <w:rFonts w:asciiTheme="majorBidi" w:hAnsiTheme="majorBidi" w:cstheme="majorBidi"/>
          <w:sz w:val="24"/>
          <w:szCs w:val="24"/>
        </w:rPr>
        <w:t xml:space="preserve">a </w:t>
      </w:r>
      <w:r w:rsidRPr="00FC05DE">
        <w:rPr>
          <w:rFonts w:asciiTheme="majorBidi" w:hAnsiTheme="majorBidi" w:cstheme="majorBidi"/>
          <w:sz w:val="24"/>
          <w:szCs w:val="24"/>
        </w:rPr>
        <w:t xml:space="preserve">higher socioeconomic </w:t>
      </w:r>
      <w:r>
        <w:rPr>
          <w:rFonts w:asciiTheme="majorBidi" w:hAnsiTheme="majorBidi" w:cstheme="majorBidi"/>
          <w:sz w:val="24"/>
          <w:szCs w:val="24"/>
        </w:rPr>
        <w:t>index.</w:t>
      </w:r>
      <w:r w:rsidRPr="00FC05DE">
        <w:rPr>
          <w:rFonts w:asciiTheme="majorBidi" w:hAnsiTheme="majorBidi" w:cstheme="majorBidi"/>
          <w:sz w:val="24"/>
          <w:szCs w:val="24"/>
        </w:rPr>
        <w:t xml:space="preserve"> </w:t>
      </w:r>
      <w:r>
        <w:rPr>
          <w:rFonts w:asciiTheme="majorBidi" w:hAnsiTheme="majorBidi" w:cstheme="majorBidi"/>
          <w:sz w:val="24"/>
          <w:szCs w:val="24"/>
        </w:rPr>
        <w:t>S</w:t>
      </w:r>
      <w:r w:rsidRPr="00FC05DE">
        <w:rPr>
          <w:rFonts w:asciiTheme="majorBidi" w:hAnsiTheme="majorBidi" w:cstheme="majorBidi"/>
          <w:sz w:val="24"/>
          <w:szCs w:val="24"/>
        </w:rPr>
        <w:t>urvey data</w:t>
      </w:r>
      <w:r>
        <w:rPr>
          <w:rFonts w:asciiTheme="majorBidi" w:hAnsiTheme="majorBidi" w:cstheme="majorBidi"/>
          <w:sz w:val="24"/>
          <w:szCs w:val="24"/>
        </w:rPr>
        <w:t xml:space="preserve"> indicate</w:t>
      </w:r>
      <w:r w:rsidRPr="00FC05DE">
        <w:rPr>
          <w:rFonts w:asciiTheme="majorBidi" w:hAnsiTheme="majorBidi" w:cstheme="majorBidi"/>
          <w:sz w:val="24"/>
          <w:szCs w:val="24"/>
        </w:rPr>
        <w:t xml:space="preserve"> that those </w:t>
      </w:r>
      <w:r>
        <w:rPr>
          <w:rFonts w:asciiTheme="majorBidi" w:hAnsiTheme="majorBidi" w:cstheme="majorBidi"/>
          <w:sz w:val="24"/>
          <w:szCs w:val="24"/>
        </w:rPr>
        <w:t>who lacked</w:t>
      </w:r>
      <w:r w:rsidRPr="00FC05DE">
        <w:rPr>
          <w:rFonts w:asciiTheme="majorBidi" w:hAnsiTheme="majorBidi" w:cstheme="majorBidi"/>
          <w:sz w:val="24"/>
          <w:szCs w:val="24"/>
        </w:rPr>
        <w:t xml:space="preserve"> financial </w:t>
      </w:r>
      <w:r>
        <w:rPr>
          <w:rFonts w:asciiTheme="majorBidi" w:hAnsiTheme="majorBidi" w:cstheme="majorBidi"/>
          <w:sz w:val="24"/>
          <w:szCs w:val="24"/>
        </w:rPr>
        <w:t>literacy</w:t>
      </w:r>
      <w:r w:rsidRPr="00FC05DE">
        <w:rPr>
          <w:rFonts w:asciiTheme="majorBidi" w:hAnsiTheme="majorBidi" w:cstheme="majorBidi"/>
          <w:sz w:val="24"/>
          <w:szCs w:val="24"/>
        </w:rPr>
        <w:t xml:space="preserve"> and confidence in their </w:t>
      </w:r>
      <w:r>
        <w:rPr>
          <w:rFonts w:asciiTheme="majorBidi" w:hAnsiTheme="majorBidi" w:cstheme="majorBidi"/>
          <w:sz w:val="24"/>
          <w:szCs w:val="24"/>
        </w:rPr>
        <w:t xml:space="preserve">financial </w:t>
      </w:r>
      <w:r w:rsidRPr="00FC05DE">
        <w:rPr>
          <w:rFonts w:asciiTheme="majorBidi" w:hAnsiTheme="majorBidi" w:cstheme="majorBidi"/>
          <w:sz w:val="24"/>
          <w:szCs w:val="24"/>
        </w:rPr>
        <w:t>knowledge</w:t>
      </w:r>
      <w:r>
        <w:rPr>
          <w:rFonts w:asciiTheme="majorBidi" w:hAnsiTheme="majorBidi" w:cstheme="majorBidi"/>
          <w:sz w:val="24"/>
          <w:szCs w:val="24"/>
        </w:rPr>
        <w:t xml:space="preserve"> w</w:t>
      </w:r>
      <w:r w:rsidRPr="003F51D9">
        <w:rPr>
          <w:rFonts w:asciiTheme="majorBidi" w:hAnsiTheme="majorBidi" w:cstheme="majorBidi"/>
          <w:sz w:val="24"/>
          <w:szCs w:val="24"/>
        </w:rPr>
        <w:t>ere</w:t>
      </w:r>
      <w:r>
        <w:rPr>
          <w:rFonts w:asciiTheme="majorBidi" w:hAnsiTheme="majorBidi" w:cstheme="majorBidi" w:hint="cs"/>
          <w:sz w:val="24"/>
          <w:szCs w:val="24"/>
          <w:rtl/>
        </w:rPr>
        <w:t xml:space="preserve"> </w:t>
      </w:r>
      <w:r>
        <w:rPr>
          <w:rFonts w:asciiTheme="majorBidi" w:hAnsiTheme="majorBidi" w:cstheme="majorBidi"/>
          <w:sz w:val="24"/>
          <w:szCs w:val="24"/>
        </w:rPr>
        <w:t xml:space="preserve">less likely to </w:t>
      </w:r>
      <w:r w:rsidRPr="00FC05DE">
        <w:rPr>
          <w:rFonts w:asciiTheme="majorBidi" w:hAnsiTheme="majorBidi" w:cstheme="majorBidi"/>
          <w:sz w:val="24"/>
          <w:szCs w:val="24"/>
        </w:rPr>
        <w:t xml:space="preserve">take </w:t>
      </w:r>
      <w:r>
        <w:rPr>
          <w:rFonts w:asciiTheme="majorBidi" w:hAnsiTheme="majorBidi" w:cstheme="majorBidi"/>
          <w:sz w:val="24"/>
          <w:szCs w:val="24"/>
        </w:rPr>
        <w:t xml:space="preserve">financial </w:t>
      </w:r>
      <w:r w:rsidRPr="00FC05DE">
        <w:rPr>
          <w:rFonts w:asciiTheme="majorBidi" w:hAnsiTheme="majorBidi" w:cstheme="majorBidi"/>
          <w:sz w:val="24"/>
          <w:szCs w:val="24"/>
        </w:rPr>
        <w:t>action</w:t>
      </w:r>
      <w:r>
        <w:rPr>
          <w:rFonts w:asciiTheme="majorBidi" w:hAnsiTheme="majorBidi" w:cstheme="majorBidi"/>
          <w:sz w:val="24"/>
          <w:szCs w:val="24"/>
        </w:rPr>
        <w:t>s</w:t>
      </w:r>
      <w:r w:rsidRPr="003F51D9">
        <w:rPr>
          <w:rFonts w:asciiTheme="majorBidi" w:hAnsiTheme="majorBidi" w:cstheme="majorBidi"/>
          <w:sz w:val="24"/>
          <w:szCs w:val="24"/>
        </w:rPr>
        <w:t xml:space="preserve">. </w:t>
      </w:r>
      <w:r>
        <w:rPr>
          <w:rFonts w:asciiTheme="majorBidi" w:hAnsiTheme="majorBidi" w:cstheme="majorBidi"/>
          <w:sz w:val="24"/>
          <w:szCs w:val="24"/>
        </w:rPr>
        <w:t>Using a controlled field experiment, we also provide evidence that an intervention with a human touch can promote greater involvement.</w:t>
      </w:r>
    </w:p>
    <w:p w:rsidR="00132BCF" w:rsidRDefault="00132BCF" w:rsidP="00132BCF">
      <w:pPr>
        <w:bidi w:val="0"/>
        <w:spacing w:line="360" w:lineRule="auto"/>
        <w:rPr>
          <w:rFonts w:asciiTheme="majorBidi" w:hAnsiTheme="majorBidi" w:cstheme="majorBidi"/>
          <w:sz w:val="24"/>
          <w:szCs w:val="24"/>
          <w:lang w:val="en-GB"/>
        </w:rPr>
      </w:pPr>
      <w:r>
        <w:rPr>
          <w:rFonts w:asciiTheme="majorBidi" w:hAnsiTheme="majorBidi" w:cstheme="majorBidi"/>
          <w:sz w:val="24"/>
          <w:szCs w:val="24"/>
          <w:lang w:val="en-GB"/>
        </w:rPr>
        <w:lastRenderedPageBreak/>
        <w:t>Keywords: Retirement savings; objective financial literacy;</w:t>
      </w:r>
      <w:r w:rsidRPr="009267BD">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subjective financial literacy; </w:t>
      </w:r>
      <w:proofErr w:type="spellStart"/>
      <w:r>
        <w:rPr>
          <w:rFonts w:asciiTheme="majorBidi" w:hAnsiTheme="majorBidi" w:cstheme="majorBidi"/>
          <w:sz w:val="24"/>
          <w:szCs w:val="24"/>
          <w:lang w:val="en-GB"/>
        </w:rPr>
        <w:t>fintech</w:t>
      </w:r>
      <w:proofErr w:type="spellEnd"/>
      <w:r>
        <w:rPr>
          <w:rFonts w:asciiTheme="majorBidi" w:hAnsiTheme="majorBidi" w:cstheme="majorBidi"/>
          <w:sz w:val="24"/>
          <w:szCs w:val="24"/>
          <w:lang w:val="en-GB"/>
        </w:rPr>
        <w:t xml:space="preserve">; field experiment.   </w:t>
      </w:r>
    </w:p>
    <w:p w:rsidR="00132BCF" w:rsidRDefault="00132BCF" w:rsidP="00132BCF">
      <w:pPr>
        <w:bidi w:val="0"/>
        <w:spacing w:line="360" w:lineRule="auto"/>
        <w:rPr>
          <w:rFonts w:asciiTheme="majorBidi" w:hAnsiTheme="majorBidi" w:cstheme="majorBidi"/>
          <w:sz w:val="24"/>
          <w:szCs w:val="24"/>
          <w:lang w:val="en-GB"/>
        </w:rPr>
      </w:pPr>
      <w:r>
        <w:rPr>
          <w:rFonts w:asciiTheme="majorBidi" w:hAnsiTheme="majorBidi" w:cstheme="majorBidi"/>
          <w:sz w:val="24"/>
          <w:szCs w:val="24"/>
          <w:lang w:val="en-GB"/>
        </w:rPr>
        <w:t>JEL: D12, D14, D91,</w:t>
      </w:r>
      <w:r>
        <w:rPr>
          <w:rFonts w:asciiTheme="majorBidi" w:hAnsiTheme="majorBidi" w:cstheme="majorBidi" w:hint="cs"/>
          <w:sz w:val="24"/>
          <w:szCs w:val="24"/>
          <w:rtl/>
          <w:lang w:val="en-GB"/>
        </w:rPr>
        <w:t xml:space="preserve"> </w:t>
      </w:r>
      <w:r>
        <w:rPr>
          <w:rFonts w:asciiTheme="majorBidi" w:hAnsiTheme="majorBidi" w:cstheme="majorBidi"/>
          <w:sz w:val="24"/>
          <w:szCs w:val="24"/>
          <w:lang w:val="en-GB"/>
        </w:rPr>
        <w:t>G28, G40, J32</w:t>
      </w:r>
    </w:p>
    <w:p w:rsidR="00132BCF" w:rsidRPr="00FC05DE" w:rsidRDefault="00132BCF" w:rsidP="00132BCF">
      <w:pPr>
        <w:pStyle w:val="2"/>
        <w:jc w:val="left"/>
      </w:pPr>
      <w:r w:rsidRPr="00FC05DE">
        <w:t>Introduction</w:t>
      </w:r>
    </w:p>
    <w:p w:rsidR="00132BCF" w:rsidRPr="002D07FF" w:rsidRDefault="00132BCF" w:rsidP="00132BCF">
      <w:pPr>
        <w:pStyle w:val="a3"/>
        <w:bidi w:val="0"/>
        <w:spacing w:before="120" w:line="360" w:lineRule="auto"/>
        <w:rPr>
          <w:sz w:val="24"/>
          <w:szCs w:val="24"/>
          <w:lang w:val="en-GB"/>
        </w:rPr>
      </w:pPr>
      <w:r w:rsidRPr="00020191">
        <w:rPr>
          <w:rFonts w:asciiTheme="majorBidi" w:hAnsiTheme="majorBidi" w:cstheme="majorBidi"/>
          <w:sz w:val="24"/>
          <w:szCs w:val="24"/>
        </w:rPr>
        <w:t>In recent decades, financial regulat</w:t>
      </w:r>
      <w:r>
        <w:rPr>
          <w:rFonts w:asciiTheme="majorBidi" w:hAnsiTheme="majorBidi" w:cstheme="majorBidi"/>
          <w:sz w:val="24"/>
          <w:szCs w:val="24"/>
        </w:rPr>
        <w:t>ors</w:t>
      </w:r>
      <w:r w:rsidRPr="00020191">
        <w:rPr>
          <w:rFonts w:asciiTheme="majorBidi" w:hAnsiTheme="majorBidi" w:cstheme="majorBidi"/>
          <w:sz w:val="24"/>
          <w:szCs w:val="24"/>
        </w:rPr>
        <w:t xml:space="preserve"> around the globe ha</w:t>
      </w:r>
      <w:r>
        <w:rPr>
          <w:rFonts w:asciiTheme="majorBidi" w:hAnsiTheme="majorBidi" w:cstheme="majorBidi"/>
          <w:sz w:val="24"/>
          <w:szCs w:val="24"/>
        </w:rPr>
        <w:t>ve</w:t>
      </w:r>
      <w:r w:rsidRPr="00020191">
        <w:rPr>
          <w:rFonts w:asciiTheme="majorBidi" w:hAnsiTheme="majorBidi" w:cstheme="majorBidi"/>
          <w:sz w:val="24"/>
          <w:szCs w:val="24"/>
        </w:rPr>
        <w:t xml:space="preserve"> transferred financial responsibilities from government</w:t>
      </w:r>
      <w:r>
        <w:rPr>
          <w:rFonts w:asciiTheme="majorBidi" w:hAnsiTheme="majorBidi" w:cstheme="majorBidi"/>
          <w:sz w:val="24"/>
          <w:szCs w:val="24"/>
        </w:rPr>
        <w:t>s</w:t>
      </w:r>
      <w:r w:rsidRPr="00020191">
        <w:rPr>
          <w:rFonts w:asciiTheme="majorBidi" w:hAnsiTheme="majorBidi" w:cstheme="majorBidi"/>
          <w:sz w:val="24"/>
          <w:szCs w:val="24"/>
        </w:rPr>
        <w:t xml:space="preserve"> and employers to individuals </w:t>
      </w:r>
      <w:r>
        <w:rPr>
          <w:rFonts w:asciiTheme="majorBidi" w:hAnsiTheme="majorBidi" w:cstheme="majorBidi"/>
          <w:sz w:val="24"/>
          <w:szCs w:val="24"/>
        </w:rPr>
        <w:t>(</w:t>
      </w:r>
      <w:r w:rsidRPr="00020191">
        <w:rPr>
          <w:rFonts w:asciiTheme="majorBidi" w:hAnsiTheme="majorBidi" w:cstheme="majorBidi"/>
          <w:sz w:val="24"/>
          <w:szCs w:val="24"/>
        </w:rPr>
        <w:t>e.g.</w:t>
      </w:r>
      <w:r>
        <w:rPr>
          <w:rFonts w:asciiTheme="majorBidi" w:hAnsiTheme="majorBidi" w:cstheme="majorBidi"/>
          <w:sz w:val="24"/>
          <w:szCs w:val="24"/>
        </w:rPr>
        <w:t>,</w:t>
      </w:r>
      <w:r w:rsidRPr="00020191">
        <w:rPr>
          <w:rFonts w:asciiTheme="majorBidi" w:hAnsiTheme="majorBidi" w:cstheme="majorBidi"/>
          <w:sz w:val="24"/>
          <w:szCs w:val="24"/>
        </w:rPr>
        <w:t xml:space="preserve"> Ryan et al (2011) and Campbell et al. (2011)</w:t>
      </w:r>
      <w:r>
        <w:rPr>
          <w:rFonts w:asciiTheme="majorBidi" w:hAnsiTheme="majorBidi" w:cstheme="majorBidi"/>
          <w:sz w:val="24"/>
          <w:szCs w:val="24"/>
        </w:rPr>
        <w:t>)</w:t>
      </w:r>
      <w:r w:rsidRPr="00020191">
        <w:rPr>
          <w:rFonts w:asciiTheme="majorBidi" w:hAnsiTheme="majorBidi" w:cstheme="majorBidi"/>
          <w:sz w:val="24"/>
          <w:szCs w:val="24"/>
        </w:rPr>
        <w:t xml:space="preserve">. </w:t>
      </w:r>
      <w:r>
        <w:rPr>
          <w:rFonts w:asciiTheme="majorBidi" w:hAnsiTheme="majorBidi" w:cstheme="majorBidi"/>
          <w:sz w:val="24"/>
          <w:szCs w:val="24"/>
        </w:rPr>
        <w:t xml:space="preserve">This is especially true for long term savings, where the </w:t>
      </w:r>
      <w:r>
        <w:rPr>
          <w:rFonts w:asciiTheme="majorBidi" w:hAnsiTheme="majorBidi" w:cstheme="majorBidi"/>
          <w:sz w:val="24"/>
          <w:szCs w:val="24"/>
          <w:lang w:val="en-GB"/>
        </w:rPr>
        <w:t xml:space="preserve">transition from a DB (Defined Benefits) system to a DC (Defined contribution) system transferred responsibilities from employers and the state to individuals. This transition was accompanied with a change from a system with guaranteed and known benefits to a system where the end benefit is dependent completely on the decision and actions of savers during the life-cycle. To help with the transition of responsibilities, </w:t>
      </w:r>
      <w:r>
        <w:rPr>
          <w:rFonts w:asciiTheme="majorBidi" w:hAnsiTheme="majorBidi" w:cstheme="majorBidi"/>
          <w:sz w:val="24"/>
          <w:szCs w:val="24"/>
        </w:rPr>
        <w:t>r</w:t>
      </w:r>
      <w:r w:rsidRPr="00020191">
        <w:rPr>
          <w:rFonts w:asciiTheme="majorBidi" w:hAnsiTheme="majorBidi" w:cstheme="majorBidi"/>
          <w:sz w:val="24"/>
          <w:szCs w:val="24"/>
        </w:rPr>
        <w:t>egulators</w:t>
      </w:r>
      <w:r>
        <w:rPr>
          <w:rFonts w:asciiTheme="majorBidi" w:hAnsiTheme="majorBidi" w:cstheme="majorBidi"/>
          <w:sz w:val="24"/>
          <w:szCs w:val="24"/>
        </w:rPr>
        <w:t>’</w:t>
      </w:r>
      <w:r w:rsidRPr="00020191">
        <w:rPr>
          <w:rFonts w:asciiTheme="majorBidi" w:hAnsiTheme="majorBidi" w:cstheme="majorBidi"/>
          <w:sz w:val="24"/>
          <w:szCs w:val="24"/>
        </w:rPr>
        <w:t xml:space="preserve"> actions emphasize transparency and disclosure, with the aim of individuals using this available information rationally and in their best interest. In addition, technological advances</w:t>
      </w:r>
      <w:r>
        <w:rPr>
          <w:rFonts w:asciiTheme="majorBidi" w:hAnsiTheme="majorBidi" w:cstheme="majorBidi"/>
          <w:sz w:val="24"/>
          <w:szCs w:val="24"/>
        </w:rPr>
        <w:t xml:space="preserve"> have</w:t>
      </w:r>
      <w:r w:rsidRPr="00020191">
        <w:rPr>
          <w:rFonts w:asciiTheme="majorBidi" w:hAnsiTheme="majorBidi" w:cstheme="majorBidi"/>
          <w:sz w:val="24"/>
          <w:szCs w:val="24"/>
        </w:rPr>
        <w:t xml:space="preserve"> enable</w:t>
      </w:r>
      <w:r>
        <w:rPr>
          <w:rFonts w:asciiTheme="majorBidi" w:hAnsiTheme="majorBidi" w:cstheme="majorBidi"/>
          <w:sz w:val="24"/>
          <w:szCs w:val="24"/>
        </w:rPr>
        <w:t>d</w:t>
      </w:r>
      <w:r w:rsidRPr="00020191">
        <w:rPr>
          <w:rFonts w:asciiTheme="majorBidi" w:hAnsiTheme="majorBidi" w:cstheme="majorBidi"/>
          <w:sz w:val="24"/>
          <w:szCs w:val="24"/>
        </w:rPr>
        <w:t xml:space="preserve"> regulators to use digital media and websites as platforms for </w:t>
      </w:r>
      <w:r>
        <w:rPr>
          <w:rFonts w:asciiTheme="majorBidi" w:hAnsiTheme="majorBidi" w:cstheme="majorBidi"/>
          <w:sz w:val="24"/>
          <w:szCs w:val="24"/>
        </w:rPr>
        <w:t>promoting different initiatives</w:t>
      </w:r>
      <w:r w:rsidRPr="00020191">
        <w:rPr>
          <w:rFonts w:asciiTheme="majorBidi" w:hAnsiTheme="majorBidi" w:cstheme="majorBidi"/>
          <w:sz w:val="24"/>
          <w:szCs w:val="24"/>
        </w:rPr>
        <w:t xml:space="preserve">. The use of these platforms is intended to promote direct interaction or to provide aggregative information in a timely manner while bypassing intermediaries. However, this transfer of responsibilities to the public, combined with the increased use of technology by the regulators, has </w:t>
      </w:r>
      <w:r>
        <w:rPr>
          <w:rFonts w:asciiTheme="majorBidi" w:hAnsiTheme="majorBidi" w:cstheme="majorBidi"/>
          <w:sz w:val="24"/>
          <w:szCs w:val="24"/>
        </w:rPr>
        <w:t xml:space="preserve">also </w:t>
      </w:r>
      <w:r w:rsidRPr="00020191">
        <w:rPr>
          <w:rFonts w:asciiTheme="majorBidi" w:hAnsiTheme="majorBidi" w:cstheme="majorBidi"/>
          <w:sz w:val="24"/>
          <w:szCs w:val="24"/>
        </w:rPr>
        <w:t>been criticized because it does not take into account the public’s financial literacy</w:t>
      </w:r>
      <w:r>
        <w:rPr>
          <w:rFonts w:asciiTheme="majorBidi" w:hAnsiTheme="majorBidi" w:cstheme="majorBidi"/>
          <w:sz w:val="24"/>
          <w:szCs w:val="24"/>
        </w:rPr>
        <w:t xml:space="preserve"> (</w:t>
      </w:r>
      <w:proofErr w:type="spellStart"/>
      <w:r>
        <w:rPr>
          <w:rFonts w:asciiTheme="majorBidi" w:hAnsiTheme="majorBidi" w:cstheme="majorBidi"/>
          <w:sz w:val="24"/>
          <w:szCs w:val="24"/>
        </w:rPr>
        <w:t>Karlan</w:t>
      </w:r>
      <w:proofErr w:type="spellEnd"/>
      <w:r>
        <w:rPr>
          <w:rFonts w:asciiTheme="majorBidi" w:hAnsiTheme="majorBidi" w:cstheme="majorBidi"/>
          <w:sz w:val="24"/>
          <w:szCs w:val="24"/>
        </w:rPr>
        <w:t xml:space="preserve"> et al. (2016), </w:t>
      </w:r>
      <w:r w:rsidRPr="00020191">
        <w:rPr>
          <w:rFonts w:asciiTheme="majorBidi" w:hAnsiTheme="majorBidi" w:cstheme="majorBidi"/>
          <w:sz w:val="24"/>
          <w:szCs w:val="24"/>
        </w:rPr>
        <w:t>Campbell (2016)</w:t>
      </w:r>
      <w:r>
        <w:rPr>
          <w:rFonts w:asciiTheme="majorBidi" w:hAnsiTheme="majorBidi" w:cstheme="majorBidi"/>
          <w:sz w:val="24"/>
          <w:szCs w:val="24"/>
        </w:rPr>
        <w:t>)</w:t>
      </w:r>
      <w:r w:rsidRPr="00020191">
        <w:rPr>
          <w:rFonts w:asciiTheme="majorBidi" w:hAnsiTheme="majorBidi" w:cstheme="majorBidi"/>
          <w:sz w:val="24"/>
          <w:szCs w:val="24"/>
        </w:rPr>
        <w:t xml:space="preserve">. </w:t>
      </w:r>
      <w:r>
        <w:rPr>
          <w:rFonts w:asciiTheme="majorBidi" w:hAnsiTheme="majorBidi" w:cstheme="majorBidi"/>
          <w:sz w:val="24"/>
          <w:szCs w:val="24"/>
        </w:rPr>
        <w:t>S</w:t>
      </w:r>
      <w:r w:rsidRPr="00020191">
        <w:rPr>
          <w:rFonts w:asciiTheme="majorBidi" w:hAnsiTheme="majorBidi" w:cstheme="majorBidi"/>
          <w:sz w:val="24"/>
          <w:szCs w:val="24"/>
        </w:rPr>
        <w:t xml:space="preserve">pecifically, regulation can be unsuccessful when people do not respond as intended, or when people are </w:t>
      </w:r>
      <w:r>
        <w:rPr>
          <w:rFonts w:asciiTheme="majorBidi" w:hAnsiTheme="majorBidi" w:cstheme="majorBidi"/>
          <w:sz w:val="24"/>
          <w:szCs w:val="24"/>
          <w:lang w:val="en-GB"/>
        </w:rPr>
        <w:t xml:space="preserve">not equally </w:t>
      </w:r>
      <w:r w:rsidRPr="00020191">
        <w:rPr>
          <w:rFonts w:asciiTheme="majorBidi" w:hAnsiTheme="majorBidi" w:cstheme="majorBidi"/>
          <w:sz w:val="24"/>
          <w:szCs w:val="24"/>
        </w:rPr>
        <w:t>exposed to it. Unsuccessful regulation can in turn impact public opinion of, and trust in, the financial sector and financial regulators</w:t>
      </w:r>
      <w:r>
        <w:rPr>
          <w:rFonts w:asciiTheme="majorBidi" w:hAnsiTheme="majorBidi" w:cstheme="majorBidi"/>
          <w:sz w:val="24"/>
          <w:szCs w:val="24"/>
        </w:rPr>
        <w:t xml:space="preserve"> (</w:t>
      </w:r>
      <w:proofErr w:type="spellStart"/>
      <w:r w:rsidRPr="00D320E0">
        <w:rPr>
          <w:rFonts w:asciiTheme="majorBidi" w:hAnsiTheme="majorBidi" w:cstheme="majorBidi"/>
          <w:sz w:val="24"/>
          <w:szCs w:val="24"/>
        </w:rPr>
        <w:t>Zingales</w:t>
      </w:r>
      <w:proofErr w:type="spellEnd"/>
      <w:r w:rsidRPr="00D320E0">
        <w:rPr>
          <w:rFonts w:asciiTheme="majorBidi" w:hAnsiTheme="majorBidi" w:cstheme="majorBidi"/>
          <w:sz w:val="24"/>
          <w:szCs w:val="24"/>
        </w:rPr>
        <w:t xml:space="preserve"> (2015) and Campbell (2016))</w:t>
      </w:r>
      <w:r w:rsidRPr="00020191">
        <w:rPr>
          <w:rFonts w:asciiTheme="majorBidi" w:hAnsiTheme="majorBidi" w:cstheme="majorBidi"/>
          <w:sz w:val="24"/>
          <w:szCs w:val="24"/>
        </w:rPr>
        <w:t xml:space="preserve">. This dynamic leads to the questions, which warrant empirical answers, of </w:t>
      </w:r>
      <w:r>
        <w:rPr>
          <w:rFonts w:asciiTheme="majorBidi" w:hAnsiTheme="majorBidi" w:cstheme="majorBidi"/>
          <w:sz w:val="24"/>
          <w:szCs w:val="24"/>
        </w:rPr>
        <w:t xml:space="preserve">once a </w:t>
      </w:r>
      <w:proofErr w:type="spellStart"/>
      <w:r>
        <w:rPr>
          <w:rFonts w:asciiTheme="majorBidi" w:hAnsiTheme="majorBidi" w:cstheme="majorBidi"/>
          <w:sz w:val="24"/>
          <w:szCs w:val="24"/>
        </w:rPr>
        <w:t>fintech</w:t>
      </w:r>
      <w:proofErr w:type="spellEnd"/>
      <w:r>
        <w:rPr>
          <w:rFonts w:asciiTheme="majorBidi" w:hAnsiTheme="majorBidi" w:cstheme="majorBidi"/>
          <w:sz w:val="24"/>
          <w:szCs w:val="24"/>
        </w:rPr>
        <w:t xml:space="preserve"> advancement is introduced, </w:t>
      </w:r>
      <w:r w:rsidRPr="00020191">
        <w:rPr>
          <w:rFonts w:asciiTheme="majorBidi" w:hAnsiTheme="majorBidi" w:cstheme="majorBidi"/>
          <w:sz w:val="24"/>
          <w:szCs w:val="24"/>
        </w:rPr>
        <w:t>whether all individuals receive the needed information and whether they act upon it. The answers to these questions can be based on two channels: the first is information dissemination and comprehension and the second is transaction costs and behavioral biases.</w:t>
      </w:r>
      <w:r w:rsidRPr="00020191">
        <w:rPr>
          <w:rStyle w:val="a5"/>
          <w:rFonts w:asciiTheme="majorBidi" w:hAnsiTheme="majorBidi" w:cstheme="majorBidi"/>
          <w:sz w:val="24"/>
          <w:szCs w:val="24"/>
        </w:rPr>
        <w:footnoteReference w:id="2"/>
      </w:r>
      <w:r w:rsidRPr="00020191">
        <w:rPr>
          <w:rFonts w:asciiTheme="majorBidi" w:hAnsiTheme="majorBidi" w:cstheme="majorBidi"/>
          <w:sz w:val="24"/>
          <w:szCs w:val="24"/>
        </w:rPr>
        <w:t xml:space="preserve"> </w:t>
      </w:r>
    </w:p>
    <w:p w:rsidR="00132BCF" w:rsidRDefault="00132BCF" w:rsidP="00132BCF">
      <w:pPr>
        <w:bidi w:val="0"/>
        <w:spacing w:before="120" w:after="100" w:afterAutospacing="1" w:line="360" w:lineRule="auto"/>
        <w:rPr>
          <w:rFonts w:asciiTheme="majorBidi" w:hAnsiTheme="majorBidi" w:cstheme="majorBidi"/>
          <w:sz w:val="24"/>
          <w:szCs w:val="24"/>
        </w:rPr>
      </w:pPr>
      <w:r w:rsidRPr="00020191">
        <w:rPr>
          <w:rFonts w:asciiTheme="majorBidi" w:hAnsiTheme="majorBidi" w:cstheme="majorBidi"/>
          <w:sz w:val="24"/>
          <w:szCs w:val="24"/>
        </w:rPr>
        <w:lastRenderedPageBreak/>
        <w:t>This paper uses a natural experiment in Israel (the “Money Mountain” regulatory campaign)</w:t>
      </w:r>
      <w:r>
        <w:rPr>
          <w:rFonts w:asciiTheme="majorBidi" w:hAnsiTheme="majorBidi" w:cstheme="majorBidi"/>
          <w:sz w:val="24"/>
          <w:szCs w:val="24"/>
        </w:rPr>
        <w:t xml:space="preserve"> which is the introduction of an internet portal by the regulator and tax reform. As individuals change multiple jobs during the life-cycle they can find themselves having multiple long-term savings accounts and products at multiple providers</w:t>
      </w:r>
      <w:r w:rsidRPr="00640F39">
        <w:rPr>
          <w:rFonts w:asciiTheme="majorBidi" w:hAnsiTheme="majorBidi" w:cstheme="majorBidi"/>
          <w:sz w:val="24"/>
          <w:szCs w:val="24"/>
        </w:rPr>
        <w:t xml:space="preserve"> </w:t>
      </w:r>
      <w:r>
        <w:rPr>
          <w:rFonts w:asciiTheme="majorBidi" w:hAnsiTheme="majorBidi" w:cstheme="majorBidi"/>
          <w:sz w:val="24"/>
          <w:szCs w:val="24"/>
        </w:rPr>
        <w:t>and accounts opened at former employers turn inactive (</w:t>
      </w:r>
      <w:r>
        <w:rPr>
          <w:rFonts w:asciiTheme="majorBidi" w:hAnsiTheme="majorBidi" w:cstheme="majorBidi"/>
          <w:sz w:val="24"/>
          <w:szCs w:val="24"/>
          <w:lang w:val="en-GB"/>
        </w:rPr>
        <w:t>no new funds are being deposited)</w:t>
      </w:r>
      <w:r>
        <w:rPr>
          <w:rFonts w:asciiTheme="majorBidi" w:hAnsiTheme="majorBidi" w:cstheme="majorBidi"/>
          <w:sz w:val="24"/>
          <w:szCs w:val="24"/>
        </w:rPr>
        <w:t>.</w:t>
      </w:r>
      <w:r w:rsidRPr="00640F39">
        <w:rPr>
          <w:rFonts w:asciiTheme="majorBidi" w:hAnsiTheme="majorBidi" w:cstheme="majorBidi"/>
          <w:sz w:val="24"/>
          <w:szCs w:val="24"/>
          <w:lang w:val="en-GB"/>
        </w:rPr>
        <w:t xml:space="preserve"> </w:t>
      </w:r>
      <w:r>
        <w:rPr>
          <w:rFonts w:asciiTheme="majorBidi" w:hAnsiTheme="majorBidi" w:cstheme="majorBidi"/>
          <w:sz w:val="24"/>
          <w:szCs w:val="24"/>
        </w:rPr>
        <w:t>In the Israeli pension system over 50% of accounts in some savings vehicles are inactive.</w:t>
      </w:r>
      <w:r>
        <w:rPr>
          <w:rStyle w:val="a5"/>
          <w:rFonts w:asciiTheme="majorBidi" w:hAnsiTheme="majorBidi" w:cstheme="majorBidi"/>
          <w:sz w:val="24"/>
          <w:szCs w:val="24"/>
        </w:rPr>
        <w:footnoteReference w:id="3"/>
      </w:r>
      <w:r>
        <w:rPr>
          <w:rFonts w:asciiTheme="majorBidi" w:hAnsiTheme="majorBidi" w:cstheme="majorBidi"/>
          <w:sz w:val="24"/>
          <w:szCs w:val="24"/>
        </w:rPr>
        <w:t xml:space="preserve"> Many of these accounts are very small and the account owners</w:t>
      </w:r>
      <w:r w:rsidRPr="00037315">
        <w:rPr>
          <w:rFonts w:asciiTheme="majorBidi" w:hAnsiTheme="majorBidi" w:cstheme="majorBidi"/>
          <w:sz w:val="24"/>
          <w:szCs w:val="24"/>
        </w:rPr>
        <w:t xml:space="preserve"> are </w:t>
      </w:r>
      <w:r>
        <w:rPr>
          <w:rFonts w:asciiTheme="majorBidi" w:hAnsiTheme="majorBidi" w:cstheme="majorBidi"/>
          <w:sz w:val="24"/>
          <w:szCs w:val="24"/>
        </w:rPr>
        <w:t xml:space="preserve">often unaware of their existence. The regulatory campaign studied here was aimed to </w:t>
      </w:r>
      <w:r>
        <w:rPr>
          <w:rFonts w:asciiTheme="majorBidi" w:hAnsiTheme="majorBidi" w:cstheme="majorBidi"/>
          <w:sz w:val="24"/>
          <w:szCs w:val="24"/>
          <w:lang w:val="en-GB"/>
        </w:rPr>
        <w:t>reduce substantially the transaction costs</w:t>
      </w:r>
      <w:r>
        <w:rPr>
          <w:rFonts w:asciiTheme="majorBidi" w:hAnsiTheme="majorBidi" w:cstheme="majorBidi"/>
          <w:sz w:val="24"/>
          <w:szCs w:val="24"/>
        </w:rPr>
        <w:t xml:space="preserve"> and help savers locate and manage inactive retirement savings. The regulatory campaign was supported by developments in technology that have enabled the regulator to (a) gather information about inactive accounts, and (b) build a digital platform that allows the population to access their personal information while </w:t>
      </w:r>
      <w:r w:rsidRPr="00D63FEB">
        <w:rPr>
          <w:rFonts w:asciiTheme="majorBidi" w:hAnsiTheme="majorBidi" w:cstheme="majorBidi"/>
          <w:sz w:val="24"/>
          <w:szCs w:val="24"/>
        </w:rPr>
        <w:t xml:space="preserve">upholding privacy standards. </w:t>
      </w:r>
    </w:p>
    <w:p w:rsidR="00132BCF" w:rsidRDefault="00132BCF" w:rsidP="00132BCF">
      <w:pPr>
        <w:bidi w:val="0"/>
        <w:spacing w:after="100" w:afterAutospacing="1" w:line="360" w:lineRule="auto"/>
        <w:rPr>
          <w:rFonts w:asciiTheme="majorBidi" w:hAnsiTheme="majorBidi" w:cstheme="majorBidi"/>
          <w:sz w:val="24"/>
          <w:szCs w:val="24"/>
        </w:rPr>
      </w:pPr>
      <w:r>
        <w:rPr>
          <w:rFonts w:asciiTheme="majorBidi" w:hAnsiTheme="majorBidi" w:cstheme="majorBidi"/>
          <w:sz w:val="24"/>
          <w:szCs w:val="24"/>
        </w:rPr>
        <w:t>The paper</w:t>
      </w:r>
      <w:r w:rsidRPr="00FC05DE">
        <w:rPr>
          <w:rFonts w:asciiTheme="majorBidi" w:hAnsiTheme="majorBidi" w:cstheme="majorBidi"/>
          <w:sz w:val="24"/>
          <w:szCs w:val="24"/>
        </w:rPr>
        <w:t xml:space="preserve"> focuses on the information </w:t>
      </w:r>
      <w:r>
        <w:rPr>
          <w:rFonts w:asciiTheme="majorBidi" w:hAnsiTheme="majorBidi" w:cstheme="majorBidi"/>
          <w:sz w:val="24"/>
          <w:szCs w:val="24"/>
        </w:rPr>
        <w:t xml:space="preserve">dissemination </w:t>
      </w:r>
      <w:r w:rsidRPr="00FC05DE">
        <w:rPr>
          <w:rFonts w:asciiTheme="majorBidi" w:hAnsiTheme="majorBidi" w:cstheme="majorBidi"/>
          <w:sz w:val="24"/>
          <w:szCs w:val="24"/>
        </w:rPr>
        <w:t xml:space="preserve">and comprehension channel, which can </w:t>
      </w:r>
      <w:r>
        <w:rPr>
          <w:rFonts w:asciiTheme="majorBidi" w:hAnsiTheme="majorBidi" w:cstheme="majorBidi"/>
          <w:sz w:val="24"/>
          <w:szCs w:val="24"/>
        </w:rPr>
        <w:t>a</w:t>
      </w:r>
      <w:r w:rsidRPr="00FC05DE">
        <w:rPr>
          <w:rFonts w:asciiTheme="majorBidi" w:hAnsiTheme="majorBidi" w:cstheme="majorBidi"/>
          <w:sz w:val="24"/>
          <w:szCs w:val="24"/>
        </w:rPr>
        <w:t xml:space="preserve">ffect </w:t>
      </w:r>
      <w:r>
        <w:rPr>
          <w:rFonts w:asciiTheme="majorBidi" w:hAnsiTheme="majorBidi" w:cstheme="majorBidi"/>
          <w:sz w:val="24"/>
          <w:szCs w:val="24"/>
        </w:rPr>
        <w:t xml:space="preserve">various </w:t>
      </w:r>
      <w:r w:rsidRPr="00FC05DE">
        <w:rPr>
          <w:rFonts w:asciiTheme="majorBidi" w:hAnsiTheme="majorBidi" w:cstheme="majorBidi"/>
          <w:sz w:val="24"/>
          <w:szCs w:val="24"/>
        </w:rPr>
        <w:t>subpopulations</w:t>
      </w:r>
      <w:r>
        <w:rPr>
          <w:rFonts w:asciiTheme="majorBidi" w:hAnsiTheme="majorBidi" w:cstheme="majorBidi"/>
          <w:sz w:val="24"/>
          <w:szCs w:val="24"/>
        </w:rPr>
        <w:t xml:space="preserve"> in different ways</w:t>
      </w:r>
      <w:r w:rsidRPr="00FC05DE">
        <w:rPr>
          <w:rFonts w:asciiTheme="majorBidi" w:hAnsiTheme="majorBidi" w:cstheme="majorBidi"/>
          <w:sz w:val="24"/>
          <w:szCs w:val="24"/>
        </w:rPr>
        <w:t xml:space="preserve">. In </w:t>
      </w:r>
      <w:r>
        <w:rPr>
          <w:rFonts w:asciiTheme="majorBidi" w:hAnsiTheme="majorBidi" w:cstheme="majorBidi"/>
          <w:sz w:val="24"/>
          <w:szCs w:val="24"/>
        </w:rPr>
        <w:t>particular</w:t>
      </w:r>
      <w:r w:rsidRPr="00FC05DE">
        <w:rPr>
          <w:rFonts w:asciiTheme="majorBidi" w:hAnsiTheme="majorBidi" w:cstheme="majorBidi"/>
          <w:sz w:val="24"/>
          <w:szCs w:val="24"/>
        </w:rPr>
        <w:t xml:space="preserve">, we explore </w:t>
      </w:r>
      <w:r>
        <w:rPr>
          <w:rFonts w:asciiTheme="majorBidi" w:hAnsiTheme="majorBidi" w:cstheme="majorBidi"/>
          <w:sz w:val="24"/>
          <w:szCs w:val="24"/>
        </w:rPr>
        <w:t xml:space="preserve">the question of </w:t>
      </w:r>
      <w:r w:rsidRPr="00FC05DE">
        <w:rPr>
          <w:rFonts w:asciiTheme="majorBidi" w:hAnsiTheme="majorBidi" w:cstheme="majorBidi"/>
          <w:sz w:val="24"/>
          <w:szCs w:val="24"/>
        </w:rPr>
        <w:t xml:space="preserve">who responded to </w:t>
      </w:r>
      <w:r>
        <w:rPr>
          <w:rFonts w:asciiTheme="majorBidi" w:hAnsiTheme="majorBidi" w:cstheme="majorBidi"/>
          <w:sz w:val="24"/>
          <w:szCs w:val="24"/>
        </w:rPr>
        <w:t>the</w:t>
      </w:r>
      <w:r w:rsidRPr="00FC05DE">
        <w:rPr>
          <w:rFonts w:asciiTheme="majorBidi" w:hAnsiTheme="majorBidi" w:cstheme="majorBidi"/>
          <w:sz w:val="24"/>
          <w:szCs w:val="24"/>
        </w:rPr>
        <w:t xml:space="preserve"> </w:t>
      </w:r>
      <w:r>
        <w:rPr>
          <w:rFonts w:asciiTheme="majorBidi" w:hAnsiTheme="majorBidi" w:cstheme="majorBidi"/>
          <w:sz w:val="24"/>
          <w:szCs w:val="24"/>
        </w:rPr>
        <w:t xml:space="preserve">new regulation on </w:t>
      </w:r>
      <w:r w:rsidRPr="00FC05DE">
        <w:rPr>
          <w:rFonts w:asciiTheme="majorBidi" w:hAnsiTheme="majorBidi" w:cstheme="majorBidi"/>
          <w:sz w:val="24"/>
          <w:szCs w:val="24"/>
        </w:rPr>
        <w:t>retirement savings</w:t>
      </w:r>
      <w:r>
        <w:rPr>
          <w:rFonts w:asciiTheme="majorBidi" w:hAnsiTheme="majorBidi" w:cstheme="majorBidi"/>
          <w:sz w:val="24"/>
          <w:szCs w:val="24"/>
        </w:rPr>
        <w:t>,</w:t>
      </w:r>
      <w:r w:rsidRPr="00FC05DE">
        <w:rPr>
          <w:rFonts w:asciiTheme="majorBidi" w:hAnsiTheme="majorBidi" w:cstheme="majorBidi"/>
          <w:sz w:val="24"/>
          <w:szCs w:val="24"/>
        </w:rPr>
        <w:t xml:space="preserve"> and </w:t>
      </w:r>
      <w:r>
        <w:rPr>
          <w:rFonts w:asciiTheme="majorBidi" w:hAnsiTheme="majorBidi" w:cstheme="majorBidi"/>
          <w:sz w:val="24"/>
          <w:szCs w:val="24"/>
        </w:rPr>
        <w:t xml:space="preserve">examine </w:t>
      </w:r>
      <w:r w:rsidRPr="00FC05DE">
        <w:rPr>
          <w:rFonts w:asciiTheme="majorBidi" w:hAnsiTheme="majorBidi" w:cstheme="majorBidi"/>
          <w:sz w:val="24"/>
          <w:szCs w:val="24"/>
        </w:rPr>
        <w:t xml:space="preserve">whether the regulatory </w:t>
      </w:r>
      <w:r>
        <w:rPr>
          <w:rFonts w:asciiTheme="majorBidi" w:hAnsiTheme="majorBidi" w:cstheme="majorBidi"/>
          <w:sz w:val="24"/>
          <w:szCs w:val="24"/>
        </w:rPr>
        <w:t>campaign</w:t>
      </w:r>
      <w:r w:rsidRPr="00FC05DE">
        <w:rPr>
          <w:rFonts w:asciiTheme="majorBidi" w:hAnsiTheme="majorBidi" w:cstheme="majorBidi"/>
          <w:sz w:val="24"/>
          <w:szCs w:val="24"/>
          <w:rtl/>
        </w:rPr>
        <w:t xml:space="preserve"> </w:t>
      </w:r>
      <w:r>
        <w:rPr>
          <w:rFonts w:asciiTheme="majorBidi" w:hAnsiTheme="majorBidi" w:cstheme="majorBidi"/>
          <w:sz w:val="24"/>
          <w:szCs w:val="24"/>
        </w:rPr>
        <w:t>alienated</w:t>
      </w:r>
      <w:r w:rsidRPr="00FC05DE">
        <w:rPr>
          <w:rFonts w:asciiTheme="majorBidi" w:hAnsiTheme="majorBidi" w:cstheme="majorBidi"/>
          <w:sz w:val="24"/>
          <w:szCs w:val="24"/>
        </w:rPr>
        <w:t xml:space="preserve"> certain populations</w:t>
      </w:r>
      <w:r>
        <w:rPr>
          <w:rFonts w:asciiTheme="majorBidi" w:hAnsiTheme="majorBidi" w:cstheme="majorBidi"/>
          <w:sz w:val="24"/>
          <w:szCs w:val="24"/>
        </w:rPr>
        <w:t xml:space="preserve">, such that they </w:t>
      </w:r>
      <w:r w:rsidRPr="00FC05DE">
        <w:rPr>
          <w:rFonts w:asciiTheme="majorBidi" w:hAnsiTheme="majorBidi" w:cstheme="majorBidi"/>
          <w:sz w:val="24"/>
          <w:szCs w:val="24"/>
        </w:rPr>
        <w:t xml:space="preserve">may not have been cognizant of, understood, or acted upon the information provided. </w:t>
      </w:r>
    </w:p>
    <w:p w:rsidR="00132BCF" w:rsidRPr="00FC05DE" w:rsidRDefault="00132BCF" w:rsidP="00132BCF">
      <w:pPr>
        <w:autoSpaceDE w:val="0"/>
        <w:autoSpaceDN w:val="0"/>
        <w:bidi w:val="0"/>
        <w:adjustRightInd w:val="0"/>
        <w:spacing w:after="100" w:afterAutospacing="1" w:line="360" w:lineRule="auto"/>
        <w:rPr>
          <w:rFonts w:asciiTheme="majorBidi" w:hAnsiTheme="majorBidi" w:cstheme="majorBidi"/>
          <w:sz w:val="24"/>
          <w:szCs w:val="24"/>
          <w:rtl/>
        </w:rPr>
      </w:pPr>
      <w:r>
        <w:rPr>
          <w:rFonts w:asciiTheme="majorBidi" w:hAnsiTheme="majorBidi" w:cstheme="majorBidi"/>
          <w:sz w:val="24"/>
          <w:szCs w:val="24"/>
        </w:rPr>
        <w:t>As previously mentioned, i</w:t>
      </w:r>
      <w:r w:rsidRPr="00D63FEB">
        <w:rPr>
          <w:rFonts w:asciiTheme="majorBidi" w:hAnsiTheme="majorBidi" w:cstheme="majorBidi"/>
          <w:sz w:val="24"/>
          <w:szCs w:val="24"/>
        </w:rPr>
        <w:t xml:space="preserve">n </w:t>
      </w:r>
      <w:r>
        <w:rPr>
          <w:rFonts w:asciiTheme="majorBidi" w:hAnsiTheme="majorBidi" w:cstheme="majorBidi"/>
          <w:sz w:val="24"/>
          <w:szCs w:val="24"/>
        </w:rPr>
        <w:t>2013</w:t>
      </w:r>
      <w:r w:rsidRPr="00D63FEB">
        <w:rPr>
          <w:rFonts w:asciiTheme="majorBidi" w:hAnsiTheme="majorBidi" w:cstheme="majorBidi"/>
          <w:sz w:val="24"/>
          <w:szCs w:val="24"/>
        </w:rPr>
        <w:t xml:space="preserve">, the Israeli </w:t>
      </w:r>
      <w:r>
        <w:rPr>
          <w:rFonts w:asciiTheme="majorBidi" w:hAnsiTheme="majorBidi" w:cstheme="majorBidi"/>
          <w:sz w:val="24"/>
          <w:szCs w:val="24"/>
        </w:rPr>
        <w:t>retirement savings</w:t>
      </w:r>
      <w:r w:rsidRPr="00D63FEB">
        <w:rPr>
          <w:rFonts w:asciiTheme="majorBidi" w:hAnsiTheme="majorBidi" w:cstheme="majorBidi"/>
          <w:sz w:val="24"/>
          <w:szCs w:val="24"/>
        </w:rPr>
        <w:t xml:space="preserve"> regulator reached out to the Israeli public to inform them of a new service</w:t>
      </w:r>
      <w:r>
        <w:rPr>
          <w:rFonts w:asciiTheme="majorBidi" w:hAnsiTheme="majorBidi" w:cstheme="majorBidi"/>
          <w:sz w:val="24"/>
          <w:szCs w:val="24"/>
        </w:rPr>
        <w:t>: a</w:t>
      </w:r>
      <w:r w:rsidRPr="00D63FEB">
        <w:rPr>
          <w:rFonts w:asciiTheme="majorBidi" w:hAnsiTheme="majorBidi" w:cstheme="majorBidi"/>
          <w:sz w:val="24"/>
          <w:szCs w:val="24"/>
        </w:rPr>
        <w:t xml:space="preserve"> </w:t>
      </w:r>
      <w:r>
        <w:rPr>
          <w:rFonts w:asciiTheme="majorBidi" w:hAnsiTheme="majorBidi" w:cstheme="majorBidi"/>
          <w:sz w:val="24"/>
          <w:szCs w:val="24"/>
        </w:rPr>
        <w:t>website</w:t>
      </w:r>
      <w:r w:rsidRPr="00D63FEB">
        <w:rPr>
          <w:rFonts w:asciiTheme="majorBidi" w:hAnsiTheme="majorBidi" w:cstheme="majorBidi"/>
          <w:sz w:val="24"/>
          <w:szCs w:val="24"/>
        </w:rPr>
        <w:t xml:space="preserve"> intended to help individuals find inactive retirement </w:t>
      </w:r>
      <w:r>
        <w:rPr>
          <w:rFonts w:asciiTheme="majorBidi" w:hAnsiTheme="majorBidi" w:cstheme="majorBidi"/>
          <w:sz w:val="24"/>
          <w:szCs w:val="24"/>
        </w:rPr>
        <w:t>accounts</w:t>
      </w:r>
      <w:r w:rsidRPr="00D63FEB">
        <w:rPr>
          <w:rFonts w:asciiTheme="majorBidi" w:hAnsiTheme="majorBidi" w:cstheme="majorBidi"/>
          <w:sz w:val="24"/>
          <w:szCs w:val="24"/>
        </w:rPr>
        <w:t xml:space="preserve">. The campaign was named </w:t>
      </w:r>
      <w:r>
        <w:rPr>
          <w:rFonts w:asciiTheme="majorBidi" w:hAnsiTheme="majorBidi" w:cstheme="majorBidi"/>
          <w:sz w:val="24"/>
          <w:szCs w:val="24"/>
        </w:rPr>
        <w:t>“</w:t>
      </w:r>
      <w:r w:rsidRPr="00D63FEB">
        <w:rPr>
          <w:rFonts w:asciiTheme="majorBidi" w:hAnsiTheme="majorBidi" w:cstheme="majorBidi"/>
          <w:sz w:val="24"/>
          <w:szCs w:val="24"/>
        </w:rPr>
        <w:t>Money Mountain</w:t>
      </w:r>
      <w:r>
        <w:rPr>
          <w:rFonts w:asciiTheme="majorBidi" w:hAnsiTheme="majorBidi" w:cstheme="majorBidi"/>
          <w:sz w:val="24"/>
          <w:szCs w:val="24"/>
        </w:rPr>
        <w:t xml:space="preserve">,” </w:t>
      </w:r>
      <w:r w:rsidRPr="00D63FEB">
        <w:rPr>
          <w:rFonts w:asciiTheme="majorBidi" w:hAnsiTheme="majorBidi" w:cstheme="majorBidi"/>
          <w:sz w:val="24"/>
          <w:szCs w:val="24"/>
        </w:rPr>
        <w:t xml:space="preserve">which implied the possibility of finding </w:t>
      </w:r>
      <w:r>
        <w:rPr>
          <w:rFonts w:asciiTheme="majorBidi" w:hAnsiTheme="majorBidi" w:cstheme="majorBidi"/>
          <w:sz w:val="24"/>
          <w:szCs w:val="24"/>
        </w:rPr>
        <w:t>vast</w:t>
      </w:r>
      <w:r w:rsidRPr="00D63FEB">
        <w:rPr>
          <w:rFonts w:asciiTheme="majorBidi" w:hAnsiTheme="majorBidi" w:cstheme="majorBidi"/>
          <w:sz w:val="24"/>
          <w:szCs w:val="24"/>
        </w:rPr>
        <w:t xml:space="preserve"> sums of lost money. A year after</w:t>
      </w:r>
      <w:r w:rsidRPr="00FC05DE">
        <w:rPr>
          <w:rFonts w:asciiTheme="majorBidi" w:hAnsiTheme="majorBidi" w:cstheme="majorBidi"/>
          <w:sz w:val="24"/>
          <w:szCs w:val="24"/>
        </w:rPr>
        <w:t xml:space="preserve"> the </w:t>
      </w:r>
      <w:r>
        <w:rPr>
          <w:rFonts w:asciiTheme="majorBidi" w:hAnsiTheme="majorBidi" w:cstheme="majorBidi"/>
          <w:sz w:val="24"/>
          <w:szCs w:val="24"/>
        </w:rPr>
        <w:t>“</w:t>
      </w:r>
      <w:r w:rsidRPr="00FC05DE">
        <w:rPr>
          <w:rFonts w:asciiTheme="majorBidi" w:hAnsiTheme="majorBidi" w:cstheme="majorBidi"/>
          <w:sz w:val="24"/>
          <w:szCs w:val="24"/>
        </w:rPr>
        <w:t>Money Mountain</w:t>
      </w:r>
      <w:r>
        <w:rPr>
          <w:rFonts w:asciiTheme="majorBidi" w:hAnsiTheme="majorBidi" w:cstheme="majorBidi"/>
          <w:sz w:val="24"/>
          <w:szCs w:val="24"/>
        </w:rPr>
        <w:t>”</w:t>
      </w:r>
      <w:r w:rsidRPr="00FC05DE">
        <w:rPr>
          <w:rFonts w:asciiTheme="majorBidi" w:hAnsiTheme="majorBidi" w:cstheme="majorBidi"/>
          <w:sz w:val="24"/>
          <w:szCs w:val="24"/>
        </w:rPr>
        <w:t xml:space="preserve"> campaign</w:t>
      </w:r>
      <w:r>
        <w:rPr>
          <w:rFonts w:asciiTheme="majorBidi" w:hAnsiTheme="majorBidi" w:cstheme="majorBidi"/>
          <w:sz w:val="24"/>
          <w:szCs w:val="24"/>
        </w:rPr>
        <w:t xml:space="preserve"> went into </w:t>
      </w:r>
      <w:proofErr w:type="gramStart"/>
      <w:r>
        <w:rPr>
          <w:rFonts w:asciiTheme="majorBidi" w:hAnsiTheme="majorBidi" w:cstheme="majorBidi"/>
          <w:sz w:val="24"/>
          <w:szCs w:val="24"/>
        </w:rPr>
        <w:t>effect</w:t>
      </w:r>
      <w:r w:rsidRPr="00FC05DE">
        <w:rPr>
          <w:rFonts w:asciiTheme="majorBidi" w:hAnsiTheme="majorBidi" w:cstheme="majorBidi"/>
          <w:sz w:val="24"/>
          <w:szCs w:val="24"/>
        </w:rPr>
        <w:t>,</w:t>
      </w:r>
      <w:proofErr w:type="gramEnd"/>
      <w:r w:rsidRPr="00FC05DE">
        <w:rPr>
          <w:rFonts w:asciiTheme="majorBidi" w:hAnsiTheme="majorBidi" w:cstheme="majorBidi"/>
          <w:sz w:val="24"/>
          <w:szCs w:val="24"/>
        </w:rPr>
        <w:t xml:space="preserve"> </w:t>
      </w:r>
      <w:r>
        <w:rPr>
          <w:rFonts w:asciiTheme="majorBidi" w:hAnsiTheme="majorBidi" w:cstheme="majorBidi"/>
          <w:sz w:val="24"/>
          <w:szCs w:val="24"/>
        </w:rPr>
        <w:t xml:space="preserve">a second campaign in the form </w:t>
      </w:r>
      <w:r w:rsidRPr="000A3A9A">
        <w:rPr>
          <w:rFonts w:asciiTheme="majorBidi" w:hAnsiTheme="majorBidi" w:cstheme="majorBidi"/>
          <w:sz w:val="24"/>
          <w:szCs w:val="24"/>
        </w:rPr>
        <w:t xml:space="preserve">of a tax exemption on savings </w:t>
      </w:r>
      <w:r>
        <w:rPr>
          <w:rFonts w:asciiTheme="majorBidi" w:hAnsiTheme="majorBidi" w:cstheme="majorBidi"/>
          <w:sz w:val="24"/>
          <w:szCs w:val="24"/>
        </w:rPr>
        <w:t xml:space="preserve">withdrawn </w:t>
      </w:r>
      <w:r w:rsidRPr="000A3A9A">
        <w:rPr>
          <w:rFonts w:asciiTheme="majorBidi" w:hAnsiTheme="majorBidi" w:cstheme="majorBidi"/>
          <w:sz w:val="24"/>
          <w:szCs w:val="24"/>
        </w:rPr>
        <w:t xml:space="preserve">from small inactive accounts in provident funds </w:t>
      </w:r>
      <w:r>
        <w:rPr>
          <w:rFonts w:asciiTheme="majorBidi" w:hAnsiTheme="majorBidi" w:cstheme="majorBidi"/>
          <w:sz w:val="24"/>
          <w:szCs w:val="24"/>
        </w:rPr>
        <w:t xml:space="preserve">was launched. Its aim was </w:t>
      </w:r>
      <w:r w:rsidRPr="00FC05DE">
        <w:rPr>
          <w:rFonts w:asciiTheme="majorBidi" w:hAnsiTheme="majorBidi" w:cstheme="majorBidi"/>
          <w:sz w:val="24"/>
          <w:szCs w:val="24"/>
        </w:rPr>
        <w:t xml:space="preserve">to encourage individuals to </w:t>
      </w:r>
      <w:r>
        <w:rPr>
          <w:rFonts w:asciiTheme="majorBidi" w:hAnsiTheme="majorBidi" w:cstheme="majorBidi"/>
          <w:sz w:val="24"/>
          <w:szCs w:val="24"/>
        </w:rPr>
        <w:t xml:space="preserve">close the inactive accounts, here meaning to either </w:t>
      </w:r>
      <w:r w:rsidRPr="00FC05DE">
        <w:rPr>
          <w:rFonts w:asciiTheme="majorBidi" w:hAnsiTheme="majorBidi" w:cstheme="majorBidi"/>
          <w:sz w:val="24"/>
          <w:szCs w:val="24"/>
        </w:rPr>
        <w:t>withdraw</w:t>
      </w:r>
      <w:r>
        <w:rPr>
          <w:rFonts w:asciiTheme="majorBidi" w:hAnsiTheme="majorBidi" w:cstheme="majorBidi"/>
          <w:sz w:val="24"/>
          <w:szCs w:val="24"/>
        </w:rPr>
        <w:t xml:space="preserve"> these </w:t>
      </w:r>
      <w:r w:rsidRPr="000A3A9A">
        <w:rPr>
          <w:rFonts w:asciiTheme="majorBidi" w:hAnsiTheme="majorBidi" w:cstheme="majorBidi"/>
          <w:sz w:val="24"/>
          <w:szCs w:val="24"/>
        </w:rPr>
        <w:t>savings</w:t>
      </w:r>
      <w:r>
        <w:rPr>
          <w:rFonts w:asciiTheme="majorBidi" w:hAnsiTheme="majorBidi" w:cstheme="majorBidi"/>
          <w:sz w:val="24"/>
          <w:szCs w:val="24"/>
        </w:rPr>
        <w:t xml:space="preserve"> as cash</w:t>
      </w:r>
      <w:r w:rsidRPr="00FC05DE">
        <w:rPr>
          <w:rFonts w:asciiTheme="majorBidi" w:hAnsiTheme="majorBidi" w:cstheme="majorBidi"/>
          <w:sz w:val="24"/>
          <w:szCs w:val="24"/>
        </w:rPr>
        <w:t xml:space="preserve"> </w:t>
      </w:r>
      <w:r>
        <w:rPr>
          <w:rFonts w:asciiTheme="majorBidi" w:hAnsiTheme="majorBidi" w:cstheme="majorBidi"/>
          <w:sz w:val="24"/>
          <w:szCs w:val="24"/>
        </w:rPr>
        <w:t xml:space="preserve">or transfer them to a different active account, thus </w:t>
      </w:r>
      <w:r w:rsidRPr="00FC05DE">
        <w:rPr>
          <w:rFonts w:asciiTheme="majorBidi" w:hAnsiTheme="majorBidi" w:cstheme="majorBidi"/>
          <w:sz w:val="24"/>
          <w:szCs w:val="24"/>
        </w:rPr>
        <w:t>avoid</w:t>
      </w:r>
      <w:r>
        <w:rPr>
          <w:rFonts w:asciiTheme="majorBidi" w:hAnsiTheme="majorBidi" w:cstheme="majorBidi"/>
          <w:sz w:val="24"/>
          <w:szCs w:val="24"/>
        </w:rPr>
        <w:t>ing</w:t>
      </w:r>
      <w:r w:rsidRPr="00FC05DE">
        <w:rPr>
          <w:rFonts w:asciiTheme="majorBidi" w:hAnsiTheme="majorBidi" w:cstheme="majorBidi"/>
          <w:sz w:val="24"/>
          <w:szCs w:val="24"/>
        </w:rPr>
        <w:t xml:space="preserve"> new minimum management fees that would </w:t>
      </w:r>
      <w:r>
        <w:rPr>
          <w:rFonts w:asciiTheme="majorBidi" w:hAnsiTheme="majorBidi" w:cstheme="majorBidi"/>
          <w:sz w:val="24"/>
          <w:szCs w:val="24"/>
        </w:rPr>
        <w:t xml:space="preserve">gradually </w:t>
      </w:r>
      <w:r w:rsidRPr="00FC05DE">
        <w:rPr>
          <w:rFonts w:asciiTheme="majorBidi" w:hAnsiTheme="majorBidi" w:cstheme="majorBidi"/>
          <w:sz w:val="24"/>
          <w:szCs w:val="24"/>
        </w:rPr>
        <w:t xml:space="preserve">exhaust the </w:t>
      </w:r>
      <w:r w:rsidRPr="00712652">
        <w:rPr>
          <w:rFonts w:asciiTheme="majorBidi" w:hAnsiTheme="majorBidi" w:cstheme="majorBidi"/>
          <w:sz w:val="24"/>
          <w:szCs w:val="24"/>
        </w:rPr>
        <w:t>savings</w:t>
      </w:r>
      <w:r w:rsidRPr="00FC05DE">
        <w:rPr>
          <w:rFonts w:asciiTheme="majorBidi" w:hAnsiTheme="majorBidi" w:cstheme="majorBidi"/>
          <w:sz w:val="24"/>
          <w:szCs w:val="24"/>
        </w:rPr>
        <w:t xml:space="preserve"> </w:t>
      </w:r>
      <w:r w:rsidRPr="008C17B3">
        <w:rPr>
          <w:rFonts w:asciiTheme="majorBidi" w:hAnsiTheme="majorBidi" w:cstheme="majorBidi"/>
          <w:sz w:val="24"/>
          <w:szCs w:val="24"/>
        </w:rPr>
        <w:t xml:space="preserve">over </w:t>
      </w:r>
      <w:r w:rsidRPr="006D4637">
        <w:rPr>
          <w:rFonts w:asciiTheme="majorBidi" w:hAnsiTheme="majorBidi" w:cstheme="majorBidi"/>
          <w:sz w:val="24"/>
          <w:szCs w:val="24"/>
        </w:rPr>
        <w:t xml:space="preserve">time. </w:t>
      </w:r>
      <w:r>
        <w:rPr>
          <w:rFonts w:asciiTheme="majorBidi" w:hAnsiTheme="majorBidi" w:cstheme="majorBidi"/>
          <w:sz w:val="24"/>
          <w:szCs w:val="24"/>
        </w:rPr>
        <w:t>To illustrate the need for action, f</w:t>
      </w:r>
      <w:r w:rsidRPr="006D4637">
        <w:rPr>
          <w:rFonts w:asciiTheme="majorBidi" w:hAnsiTheme="majorBidi" w:cstheme="majorBidi"/>
          <w:sz w:val="24"/>
          <w:szCs w:val="24"/>
        </w:rPr>
        <w:t xml:space="preserve">or example, </w:t>
      </w:r>
      <w:r>
        <w:rPr>
          <w:rFonts w:asciiTheme="majorBidi" w:hAnsiTheme="majorBidi" w:cstheme="majorBidi"/>
          <w:sz w:val="24"/>
          <w:szCs w:val="24"/>
        </w:rPr>
        <w:t>at the given fix</w:t>
      </w:r>
      <w:proofErr w:type="spellStart"/>
      <w:r>
        <w:rPr>
          <w:rFonts w:asciiTheme="majorBidi" w:hAnsiTheme="majorBidi" w:cstheme="majorBidi"/>
          <w:sz w:val="24"/>
          <w:szCs w:val="24"/>
          <w:lang w:val="en-GB"/>
        </w:rPr>
        <w:t>ed</w:t>
      </w:r>
      <w:proofErr w:type="spellEnd"/>
      <w:r>
        <w:rPr>
          <w:rFonts w:asciiTheme="majorBidi" w:hAnsiTheme="majorBidi" w:cstheme="majorBidi"/>
          <w:sz w:val="24"/>
          <w:szCs w:val="24"/>
        </w:rPr>
        <w:t xml:space="preserve"> minimum management fees, </w:t>
      </w:r>
      <w:r w:rsidRPr="006D4637">
        <w:rPr>
          <w:rFonts w:asciiTheme="majorBidi" w:hAnsiTheme="majorBidi" w:cstheme="majorBidi"/>
          <w:sz w:val="24"/>
          <w:szCs w:val="24"/>
        </w:rPr>
        <w:t xml:space="preserve">an inactive account of 100 </w:t>
      </w:r>
      <w:r w:rsidRPr="006D4637">
        <w:rPr>
          <w:rFonts w:asciiTheme="majorBidi" w:hAnsiTheme="majorBidi" w:cstheme="majorBidi"/>
          <w:sz w:val="24"/>
          <w:szCs w:val="24"/>
        </w:rPr>
        <w:lastRenderedPageBreak/>
        <w:t xml:space="preserve">USD will completely exhaust itself in approximately 6 years </w:t>
      </w:r>
      <w:r>
        <w:rPr>
          <w:rFonts w:asciiTheme="majorBidi" w:hAnsiTheme="majorBidi" w:cstheme="majorBidi"/>
          <w:sz w:val="24"/>
          <w:szCs w:val="24"/>
        </w:rPr>
        <w:t>even after taking into account</w:t>
      </w:r>
      <w:r w:rsidRPr="006D4637">
        <w:rPr>
          <w:rFonts w:asciiTheme="majorBidi" w:hAnsiTheme="majorBidi" w:cstheme="majorBidi"/>
          <w:sz w:val="24"/>
          <w:szCs w:val="24"/>
        </w:rPr>
        <w:t xml:space="preserve"> a 6% annual return rate</w:t>
      </w:r>
      <w:r w:rsidRPr="008C17B3">
        <w:rPr>
          <w:rFonts w:asciiTheme="majorBidi" w:hAnsiTheme="majorBidi" w:cstheme="majorBidi"/>
          <w:sz w:val="24"/>
          <w:szCs w:val="24"/>
        </w:rPr>
        <w:t>. Th</w:t>
      </w:r>
      <w:r w:rsidRPr="005F044E">
        <w:rPr>
          <w:rFonts w:asciiTheme="majorBidi" w:hAnsiTheme="majorBidi" w:cstheme="majorBidi"/>
          <w:sz w:val="24"/>
          <w:szCs w:val="24"/>
        </w:rPr>
        <w:t>e</w:t>
      </w:r>
      <w:r w:rsidRPr="00FC05DE">
        <w:rPr>
          <w:rFonts w:asciiTheme="majorBidi" w:hAnsiTheme="majorBidi" w:cstheme="majorBidi"/>
          <w:sz w:val="24"/>
          <w:szCs w:val="24"/>
        </w:rPr>
        <w:t xml:space="preserve"> first</w:t>
      </w:r>
      <w:r>
        <w:rPr>
          <w:rFonts w:asciiTheme="majorBidi" w:hAnsiTheme="majorBidi" w:cstheme="majorBidi"/>
          <w:sz w:val="24"/>
          <w:szCs w:val="24"/>
        </w:rPr>
        <w:t xml:space="preserve"> Money Mountain</w:t>
      </w:r>
      <w:r w:rsidRPr="00FC05DE">
        <w:rPr>
          <w:rFonts w:asciiTheme="majorBidi" w:hAnsiTheme="majorBidi" w:cstheme="majorBidi"/>
          <w:sz w:val="24"/>
          <w:szCs w:val="24"/>
        </w:rPr>
        <w:t xml:space="preserve"> campaign </w:t>
      </w:r>
      <w:r>
        <w:rPr>
          <w:rFonts w:asciiTheme="majorBidi" w:hAnsiTheme="majorBidi" w:cstheme="majorBidi"/>
          <w:sz w:val="24"/>
          <w:szCs w:val="24"/>
        </w:rPr>
        <w:t>targeted</w:t>
      </w:r>
      <w:r w:rsidRPr="00FC05DE">
        <w:rPr>
          <w:rFonts w:asciiTheme="majorBidi" w:hAnsiTheme="majorBidi" w:cstheme="majorBidi"/>
          <w:sz w:val="24"/>
          <w:szCs w:val="24"/>
        </w:rPr>
        <w:t xml:space="preserve"> </w:t>
      </w:r>
      <w:r>
        <w:rPr>
          <w:rFonts w:asciiTheme="majorBidi" w:hAnsiTheme="majorBidi" w:cstheme="majorBidi"/>
          <w:sz w:val="24"/>
          <w:szCs w:val="24"/>
        </w:rPr>
        <w:t>the general</w:t>
      </w:r>
      <w:r w:rsidRPr="00FC05DE">
        <w:rPr>
          <w:rFonts w:asciiTheme="majorBidi" w:hAnsiTheme="majorBidi" w:cstheme="majorBidi"/>
          <w:sz w:val="24"/>
          <w:szCs w:val="24"/>
        </w:rPr>
        <w:t xml:space="preserve"> population </w:t>
      </w:r>
      <w:r>
        <w:rPr>
          <w:rFonts w:asciiTheme="majorBidi" w:hAnsiTheme="majorBidi" w:cstheme="majorBidi"/>
          <w:sz w:val="24"/>
          <w:szCs w:val="24"/>
        </w:rPr>
        <w:t xml:space="preserve">and </w:t>
      </w:r>
      <w:r w:rsidRPr="00FC05DE">
        <w:rPr>
          <w:rFonts w:asciiTheme="majorBidi" w:hAnsiTheme="majorBidi" w:cstheme="majorBidi"/>
          <w:sz w:val="24"/>
          <w:szCs w:val="24"/>
        </w:rPr>
        <w:t xml:space="preserve">was publicized </w:t>
      </w:r>
      <w:r>
        <w:rPr>
          <w:rFonts w:asciiTheme="majorBidi" w:hAnsiTheme="majorBidi" w:cstheme="majorBidi"/>
          <w:sz w:val="24"/>
          <w:szCs w:val="24"/>
        </w:rPr>
        <w:t>in</w:t>
      </w:r>
      <w:r w:rsidRPr="00FC05DE">
        <w:rPr>
          <w:rFonts w:asciiTheme="majorBidi" w:hAnsiTheme="majorBidi" w:cstheme="majorBidi"/>
          <w:sz w:val="24"/>
          <w:szCs w:val="24"/>
        </w:rPr>
        <w:t xml:space="preserve"> </w:t>
      </w:r>
      <w:r>
        <w:rPr>
          <w:rFonts w:asciiTheme="majorBidi" w:hAnsiTheme="majorBidi" w:cstheme="majorBidi"/>
          <w:sz w:val="24"/>
          <w:szCs w:val="24"/>
        </w:rPr>
        <w:t>prime-time advertisements</w:t>
      </w:r>
      <w:r w:rsidRPr="00FC05DE">
        <w:rPr>
          <w:rFonts w:asciiTheme="majorBidi" w:hAnsiTheme="majorBidi" w:cstheme="majorBidi"/>
          <w:sz w:val="24"/>
          <w:szCs w:val="24"/>
        </w:rPr>
        <w:t xml:space="preserve"> on television</w:t>
      </w:r>
      <w:r>
        <w:rPr>
          <w:rFonts w:asciiTheme="majorBidi" w:hAnsiTheme="majorBidi" w:cstheme="majorBidi"/>
          <w:sz w:val="24"/>
          <w:szCs w:val="24"/>
        </w:rPr>
        <w:t xml:space="preserve"> and </w:t>
      </w:r>
      <w:r w:rsidRPr="00FC05DE">
        <w:rPr>
          <w:rFonts w:asciiTheme="majorBidi" w:hAnsiTheme="majorBidi" w:cstheme="majorBidi"/>
          <w:sz w:val="24"/>
          <w:szCs w:val="24"/>
        </w:rPr>
        <w:t>radio</w:t>
      </w:r>
      <w:r>
        <w:rPr>
          <w:rFonts w:asciiTheme="majorBidi" w:hAnsiTheme="majorBidi" w:cstheme="majorBidi"/>
          <w:sz w:val="24"/>
          <w:szCs w:val="24"/>
        </w:rPr>
        <w:t>,</w:t>
      </w:r>
      <w:r w:rsidRPr="00FC05DE">
        <w:rPr>
          <w:rFonts w:asciiTheme="majorBidi" w:hAnsiTheme="majorBidi" w:cstheme="majorBidi"/>
          <w:sz w:val="24"/>
          <w:szCs w:val="24"/>
        </w:rPr>
        <w:t xml:space="preserve"> and </w:t>
      </w:r>
      <w:r>
        <w:rPr>
          <w:rFonts w:asciiTheme="majorBidi" w:hAnsiTheme="majorBidi" w:cstheme="majorBidi"/>
          <w:sz w:val="24"/>
          <w:szCs w:val="24"/>
        </w:rPr>
        <w:t xml:space="preserve">on </w:t>
      </w:r>
      <w:r w:rsidRPr="00FC05DE">
        <w:rPr>
          <w:rFonts w:asciiTheme="majorBidi" w:hAnsiTheme="majorBidi" w:cstheme="majorBidi"/>
          <w:sz w:val="24"/>
          <w:szCs w:val="24"/>
        </w:rPr>
        <w:t>the Internet</w:t>
      </w:r>
      <w:r>
        <w:rPr>
          <w:rFonts w:asciiTheme="majorBidi" w:hAnsiTheme="majorBidi" w:cstheme="majorBidi"/>
          <w:sz w:val="24"/>
          <w:szCs w:val="24"/>
        </w:rPr>
        <w:t>.</w:t>
      </w:r>
      <w:r w:rsidRPr="00FC05DE">
        <w:rPr>
          <w:rFonts w:asciiTheme="majorBidi" w:hAnsiTheme="majorBidi" w:cstheme="majorBidi"/>
          <w:sz w:val="24"/>
          <w:szCs w:val="24"/>
        </w:rPr>
        <w:t xml:space="preserve"> The second campaign</w:t>
      </w:r>
      <w:r>
        <w:rPr>
          <w:rFonts w:asciiTheme="majorBidi" w:hAnsiTheme="majorBidi" w:cstheme="majorBidi"/>
          <w:sz w:val="24"/>
          <w:szCs w:val="24"/>
        </w:rPr>
        <w:t xml:space="preserve">, regarding the tax exemption, </w:t>
      </w:r>
      <w:r w:rsidRPr="00FC05DE">
        <w:rPr>
          <w:rFonts w:asciiTheme="majorBidi" w:hAnsiTheme="majorBidi" w:cstheme="majorBidi"/>
          <w:sz w:val="24"/>
          <w:szCs w:val="24"/>
        </w:rPr>
        <w:t>was not as broad</w:t>
      </w:r>
      <w:r>
        <w:rPr>
          <w:rFonts w:asciiTheme="majorBidi" w:hAnsiTheme="majorBidi" w:cstheme="majorBidi"/>
          <w:sz w:val="24"/>
          <w:szCs w:val="24"/>
        </w:rPr>
        <w:t>.</w:t>
      </w:r>
      <w:r w:rsidRPr="00BE3022">
        <w:rPr>
          <w:rFonts w:asciiTheme="majorBidi" w:hAnsiTheme="majorBidi" w:cstheme="majorBidi"/>
          <w:sz w:val="24"/>
          <w:szCs w:val="24"/>
        </w:rPr>
        <w:t xml:space="preserve"> </w:t>
      </w:r>
      <w:r>
        <w:rPr>
          <w:rFonts w:asciiTheme="majorBidi" w:hAnsiTheme="majorBidi" w:cstheme="majorBidi"/>
          <w:sz w:val="24"/>
          <w:szCs w:val="24"/>
        </w:rPr>
        <w:t xml:space="preserve">By </w:t>
      </w:r>
      <w:r w:rsidRPr="00FC05DE">
        <w:rPr>
          <w:rFonts w:asciiTheme="majorBidi" w:hAnsiTheme="majorBidi" w:cstheme="majorBidi"/>
          <w:sz w:val="24"/>
          <w:szCs w:val="24"/>
        </w:rPr>
        <w:t xml:space="preserve">the end of the second campaign, only </w:t>
      </w:r>
      <w:r>
        <w:rPr>
          <w:rFonts w:asciiTheme="majorBidi" w:hAnsiTheme="majorBidi" w:cstheme="majorBidi"/>
          <w:sz w:val="24"/>
          <w:szCs w:val="24"/>
        </w:rPr>
        <w:t>15</w:t>
      </w:r>
      <w:r w:rsidRPr="00FC05DE">
        <w:rPr>
          <w:rFonts w:asciiTheme="majorBidi" w:hAnsiTheme="majorBidi" w:cstheme="majorBidi"/>
          <w:sz w:val="24"/>
          <w:szCs w:val="24"/>
        </w:rPr>
        <w:t xml:space="preserve"> percent of </w:t>
      </w:r>
      <w:r>
        <w:rPr>
          <w:rFonts w:asciiTheme="majorBidi" w:hAnsiTheme="majorBidi" w:cstheme="majorBidi"/>
          <w:sz w:val="24"/>
          <w:szCs w:val="24"/>
        </w:rPr>
        <w:t xml:space="preserve">the </w:t>
      </w:r>
      <w:r w:rsidRPr="00FC05DE">
        <w:rPr>
          <w:rFonts w:asciiTheme="majorBidi" w:hAnsiTheme="majorBidi" w:cstheme="majorBidi"/>
          <w:sz w:val="24"/>
          <w:szCs w:val="24"/>
        </w:rPr>
        <w:t xml:space="preserve">eligible accounts </w:t>
      </w:r>
      <w:r>
        <w:rPr>
          <w:rFonts w:asciiTheme="majorBidi" w:hAnsiTheme="majorBidi" w:cstheme="majorBidi"/>
          <w:sz w:val="24"/>
          <w:szCs w:val="24"/>
        </w:rPr>
        <w:t>had been</w:t>
      </w:r>
      <w:r w:rsidRPr="00FC05DE">
        <w:rPr>
          <w:rFonts w:asciiTheme="majorBidi" w:hAnsiTheme="majorBidi" w:cstheme="majorBidi"/>
          <w:sz w:val="24"/>
          <w:szCs w:val="24"/>
        </w:rPr>
        <w:t xml:space="preserve"> </w:t>
      </w:r>
      <w:r>
        <w:rPr>
          <w:rFonts w:asciiTheme="majorBidi" w:hAnsiTheme="majorBidi" w:cstheme="majorBidi"/>
          <w:sz w:val="24"/>
          <w:szCs w:val="24"/>
        </w:rPr>
        <w:t>closed,</w:t>
      </w:r>
      <w:r w:rsidRPr="00FC05DE">
        <w:rPr>
          <w:rStyle w:val="a5"/>
          <w:rFonts w:asciiTheme="majorBidi" w:hAnsiTheme="majorBidi" w:cstheme="majorBidi"/>
        </w:rPr>
        <w:footnoteReference w:id="4"/>
      </w:r>
      <w:r w:rsidRPr="00FC05DE">
        <w:rPr>
          <w:rFonts w:asciiTheme="majorBidi" w:hAnsiTheme="majorBidi" w:cstheme="majorBidi"/>
          <w:sz w:val="24"/>
          <w:szCs w:val="24"/>
        </w:rPr>
        <w:t xml:space="preserve"> </w:t>
      </w:r>
      <w:r>
        <w:rPr>
          <w:rFonts w:asciiTheme="majorBidi" w:hAnsiTheme="majorBidi" w:cstheme="majorBidi"/>
          <w:sz w:val="24"/>
          <w:szCs w:val="24"/>
        </w:rPr>
        <w:t xml:space="preserve">which was a </w:t>
      </w:r>
      <w:r w:rsidRPr="00FC05DE">
        <w:rPr>
          <w:rFonts w:asciiTheme="majorBidi" w:hAnsiTheme="majorBidi" w:cstheme="majorBidi"/>
          <w:sz w:val="24"/>
          <w:szCs w:val="24"/>
        </w:rPr>
        <w:t xml:space="preserve">much lower </w:t>
      </w:r>
      <w:r>
        <w:rPr>
          <w:rFonts w:asciiTheme="majorBidi" w:hAnsiTheme="majorBidi" w:cstheme="majorBidi"/>
          <w:sz w:val="24"/>
          <w:szCs w:val="24"/>
        </w:rPr>
        <w:t xml:space="preserve">response </w:t>
      </w:r>
      <w:r w:rsidRPr="00FC05DE">
        <w:rPr>
          <w:rFonts w:asciiTheme="majorBidi" w:hAnsiTheme="majorBidi" w:cstheme="majorBidi"/>
          <w:sz w:val="24"/>
          <w:szCs w:val="24"/>
        </w:rPr>
        <w:t>than initially expected.</w:t>
      </w:r>
    </w:p>
    <w:p w:rsidR="00132BCF" w:rsidRPr="00FC05DE" w:rsidDel="00536D45" w:rsidRDefault="00132BCF" w:rsidP="00132BCF">
      <w:pPr>
        <w:bidi w:val="0"/>
        <w:spacing w:after="100" w:afterAutospacing="1" w:line="360" w:lineRule="auto"/>
        <w:rPr>
          <w:rFonts w:asciiTheme="majorBidi" w:hAnsiTheme="majorBidi" w:cstheme="majorBidi"/>
          <w:sz w:val="24"/>
          <w:szCs w:val="24"/>
        </w:rPr>
      </w:pPr>
      <w:r w:rsidRPr="00FC05DE" w:rsidDel="00536D45">
        <w:rPr>
          <w:rFonts w:asciiTheme="majorBidi" w:hAnsiTheme="majorBidi" w:cstheme="majorBidi"/>
          <w:sz w:val="24"/>
          <w:szCs w:val="24"/>
        </w:rPr>
        <w:t>The</w:t>
      </w:r>
      <w:r w:rsidDel="00536D45">
        <w:rPr>
          <w:rFonts w:asciiTheme="majorBidi" w:hAnsiTheme="majorBidi" w:cstheme="majorBidi"/>
          <w:sz w:val="24"/>
          <w:szCs w:val="24"/>
        </w:rPr>
        <w:t xml:space="preserve">re are several </w:t>
      </w:r>
      <w:r w:rsidRPr="00FC05DE" w:rsidDel="00536D45">
        <w:rPr>
          <w:rFonts w:asciiTheme="majorBidi" w:hAnsiTheme="majorBidi" w:cstheme="majorBidi"/>
          <w:sz w:val="24"/>
          <w:szCs w:val="24"/>
        </w:rPr>
        <w:t xml:space="preserve">advantages </w:t>
      </w:r>
      <w:r w:rsidDel="00536D45">
        <w:rPr>
          <w:rFonts w:asciiTheme="majorBidi" w:hAnsiTheme="majorBidi" w:cstheme="majorBidi"/>
          <w:sz w:val="24"/>
          <w:szCs w:val="24"/>
        </w:rPr>
        <w:t>to</w:t>
      </w:r>
      <w:r w:rsidRPr="00FC05DE" w:rsidDel="00536D45">
        <w:rPr>
          <w:rFonts w:asciiTheme="majorBidi" w:hAnsiTheme="majorBidi" w:cstheme="majorBidi"/>
          <w:sz w:val="24"/>
          <w:szCs w:val="24"/>
        </w:rPr>
        <w:t xml:space="preserve"> </w:t>
      </w:r>
      <w:r>
        <w:rPr>
          <w:rFonts w:asciiTheme="majorBidi" w:hAnsiTheme="majorBidi" w:cstheme="majorBidi"/>
          <w:sz w:val="24"/>
          <w:szCs w:val="24"/>
        </w:rPr>
        <w:t>researching</w:t>
      </w:r>
      <w:r w:rsidRPr="00FC05DE" w:rsidDel="00536D45">
        <w:rPr>
          <w:rFonts w:asciiTheme="majorBidi" w:hAnsiTheme="majorBidi" w:cstheme="majorBidi"/>
          <w:sz w:val="24"/>
          <w:szCs w:val="24"/>
        </w:rPr>
        <w:t xml:space="preserve"> </w:t>
      </w:r>
      <w:r w:rsidDel="00536D45">
        <w:rPr>
          <w:rFonts w:asciiTheme="majorBidi" w:hAnsiTheme="majorBidi" w:cstheme="majorBidi"/>
          <w:sz w:val="24"/>
          <w:szCs w:val="24"/>
        </w:rPr>
        <w:t>th</w:t>
      </w:r>
      <w:r>
        <w:rPr>
          <w:rFonts w:asciiTheme="majorBidi" w:hAnsiTheme="majorBidi" w:cstheme="majorBidi"/>
          <w:sz w:val="24"/>
          <w:szCs w:val="24"/>
        </w:rPr>
        <w:t>ese</w:t>
      </w:r>
      <w:r w:rsidRPr="00FC05DE" w:rsidDel="00536D45">
        <w:rPr>
          <w:rFonts w:asciiTheme="majorBidi" w:hAnsiTheme="majorBidi" w:cstheme="majorBidi"/>
          <w:sz w:val="24"/>
          <w:szCs w:val="24"/>
        </w:rPr>
        <w:t xml:space="preserve"> </w:t>
      </w:r>
      <w:r>
        <w:rPr>
          <w:rFonts w:asciiTheme="majorBidi" w:hAnsiTheme="majorBidi" w:cstheme="majorBidi"/>
          <w:sz w:val="24"/>
          <w:szCs w:val="24"/>
        </w:rPr>
        <w:t xml:space="preserve">Money Mountain </w:t>
      </w:r>
      <w:r w:rsidRPr="00FC05DE" w:rsidDel="00536D45">
        <w:rPr>
          <w:rFonts w:asciiTheme="majorBidi" w:hAnsiTheme="majorBidi" w:cstheme="majorBidi"/>
          <w:sz w:val="24"/>
          <w:szCs w:val="24"/>
        </w:rPr>
        <w:t>financial campaigns</w:t>
      </w:r>
      <w:r>
        <w:rPr>
          <w:rFonts w:asciiTheme="majorBidi" w:hAnsiTheme="majorBidi" w:cstheme="majorBidi"/>
          <w:sz w:val="24"/>
          <w:szCs w:val="24"/>
        </w:rPr>
        <w:t>:</w:t>
      </w:r>
      <w:r w:rsidRPr="00FC05DE" w:rsidDel="00536D45">
        <w:rPr>
          <w:rFonts w:asciiTheme="majorBidi" w:hAnsiTheme="majorBidi" w:cstheme="majorBidi"/>
          <w:sz w:val="24"/>
          <w:szCs w:val="24"/>
        </w:rPr>
        <w:t xml:space="preserve"> </w:t>
      </w:r>
      <w:r w:rsidDel="00536D45">
        <w:rPr>
          <w:rFonts w:asciiTheme="majorBidi" w:hAnsiTheme="majorBidi" w:cstheme="majorBidi"/>
          <w:sz w:val="24"/>
          <w:szCs w:val="24"/>
        </w:rPr>
        <w:t>(1)</w:t>
      </w:r>
      <w:r>
        <w:rPr>
          <w:rFonts w:asciiTheme="majorBidi" w:hAnsiTheme="majorBidi" w:cstheme="majorBidi"/>
          <w:sz w:val="24"/>
          <w:szCs w:val="24"/>
        </w:rPr>
        <w:t xml:space="preserve"> t</w:t>
      </w:r>
      <w:r w:rsidRPr="00FC05DE" w:rsidDel="00536D45">
        <w:rPr>
          <w:rFonts w:asciiTheme="majorBidi" w:hAnsiTheme="majorBidi" w:cstheme="majorBidi"/>
          <w:sz w:val="24"/>
          <w:szCs w:val="24"/>
        </w:rPr>
        <w:t xml:space="preserve">hey </w:t>
      </w:r>
      <w:r w:rsidDel="00536D45">
        <w:rPr>
          <w:rFonts w:asciiTheme="majorBidi" w:hAnsiTheme="majorBidi" w:cstheme="majorBidi"/>
          <w:sz w:val="24"/>
          <w:szCs w:val="24"/>
        </w:rPr>
        <w:t>are</w:t>
      </w:r>
      <w:r w:rsidRPr="00FC05DE" w:rsidDel="00536D45">
        <w:rPr>
          <w:rFonts w:asciiTheme="majorBidi" w:hAnsiTheme="majorBidi" w:cstheme="majorBidi"/>
          <w:sz w:val="24"/>
          <w:szCs w:val="24"/>
        </w:rPr>
        <w:t xml:space="preserve"> relevant to</w:t>
      </w:r>
      <w:r>
        <w:rPr>
          <w:rFonts w:asciiTheme="majorBidi" w:hAnsiTheme="majorBidi" w:cstheme="majorBidi"/>
          <w:sz w:val="24"/>
          <w:szCs w:val="24"/>
        </w:rPr>
        <w:t xml:space="preserve"> the general population. Because of the mandatory savings regime in Israel, and certain unions’ salary agreements before the law, anyone who worked at some point (even for a short or part time) might have an inactive account. This means that the regulation is relevant for both low and high socioeconomic population and might even be more relevant for those of the very low socioeconomic population which changes jobs frequently, (2) i</w:t>
      </w:r>
      <w:r w:rsidDel="00536D45">
        <w:rPr>
          <w:rFonts w:asciiTheme="majorBidi" w:hAnsiTheme="majorBidi" w:cstheme="majorBidi"/>
          <w:sz w:val="24"/>
          <w:szCs w:val="24"/>
        </w:rPr>
        <w:t>t is clear what the optimal action for each individual is.</w:t>
      </w:r>
      <w:r>
        <w:rPr>
          <w:rFonts w:asciiTheme="majorBidi" w:hAnsiTheme="majorBidi" w:cstheme="majorBidi"/>
          <w:sz w:val="24"/>
          <w:szCs w:val="24"/>
        </w:rPr>
        <w:t xml:space="preserve"> Everyone should enter the website and search for inactive funds and if they find a small inactive account</w:t>
      </w:r>
      <w:r>
        <w:rPr>
          <w:rFonts w:asciiTheme="majorBidi" w:hAnsiTheme="majorBidi" w:cstheme="majorBidi"/>
          <w:sz w:val="24"/>
          <w:szCs w:val="24"/>
          <w:lang w:val="en-GB"/>
        </w:rPr>
        <w:t xml:space="preserve"> in a provident fund</w:t>
      </w:r>
      <w:r>
        <w:rPr>
          <w:rFonts w:asciiTheme="majorBidi" w:hAnsiTheme="majorBidi" w:cstheme="majorBidi"/>
          <w:sz w:val="24"/>
          <w:szCs w:val="24"/>
        </w:rPr>
        <w:t xml:space="preserve"> they should close the account (withdraw or transfer savings to another active account) otherwise the funds are technically being given away to the provident fund provider because of minimum fees,</w:t>
      </w:r>
      <w:r w:rsidRPr="00FC05DE" w:rsidDel="00536D45">
        <w:rPr>
          <w:rFonts w:asciiTheme="majorBidi" w:hAnsiTheme="majorBidi" w:cstheme="majorBidi"/>
          <w:sz w:val="24"/>
          <w:szCs w:val="24"/>
        </w:rPr>
        <w:t xml:space="preserve"> </w:t>
      </w:r>
      <w:r w:rsidDel="00536D45">
        <w:rPr>
          <w:rFonts w:asciiTheme="majorBidi" w:hAnsiTheme="majorBidi" w:cstheme="majorBidi"/>
          <w:sz w:val="24"/>
          <w:szCs w:val="24"/>
        </w:rPr>
        <w:t>(</w:t>
      </w:r>
      <w:r>
        <w:rPr>
          <w:rFonts w:asciiTheme="majorBidi" w:hAnsiTheme="majorBidi" w:cstheme="majorBidi"/>
          <w:sz w:val="24"/>
          <w:szCs w:val="24"/>
        </w:rPr>
        <w:t>3</w:t>
      </w:r>
      <w:r w:rsidDel="00536D45">
        <w:rPr>
          <w:rFonts w:asciiTheme="majorBidi" w:hAnsiTheme="majorBidi" w:cstheme="majorBidi"/>
          <w:sz w:val="24"/>
          <w:szCs w:val="24"/>
        </w:rPr>
        <w:t>)</w:t>
      </w:r>
      <w:r w:rsidRPr="00FC05DE" w:rsidDel="00536D45">
        <w:rPr>
          <w:rFonts w:asciiTheme="majorBidi" w:hAnsiTheme="majorBidi" w:cstheme="majorBidi"/>
          <w:sz w:val="24"/>
          <w:szCs w:val="24"/>
        </w:rPr>
        <w:t xml:space="preserve"> </w:t>
      </w:r>
      <w:r>
        <w:rPr>
          <w:rFonts w:asciiTheme="majorBidi" w:hAnsiTheme="majorBidi" w:cstheme="majorBidi"/>
          <w:sz w:val="24"/>
          <w:szCs w:val="24"/>
        </w:rPr>
        <w:t>t</w:t>
      </w:r>
      <w:r w:rsidRPr="00FC05DE" w:rsidDel="00536D45">
        <w:rPr>
          <w:rFonts w:asciiTheme="majorBidi" w:hAnsiTheme="majorBidi" w:cstheme="majorBidi"/>
          <w:sz w:val="24"/>
          <w:szCs w:val="24"/>
        </w:rPr>
        <w:t>he</w:t>
      </w:r>
      <w:r>
        <w:rPr>
          <w:rFonts w:asciiTheme="majorBidi" w:hAnsiTheme="majorBidi" w:cstheme="majorBidi" w:hint="cs"/>
          <w:sz w:val="24"/>
          <w:szCs w:val="24"/>
          <w:rtl/>
        </w:rPr>
        <w:t xml:space="preserve"> </w:t>
      </w:r>
      <w:r>
        <w:rPr>
          <w:rFonts w:asciiTheme="majorBidi" w:hAnsiTheme="majorBidi" w:cstheme="majorBidi"/>
          <w:sz w:val="24"/>
          <w:szCs w:val="24"/>
          <w:lang w:val="en-GB"/>
        </w:rPr>
        <w:t>campaigns</w:t>
      </w:r>
      <w:r w:rsidRPr="00FC05DE" w:rsidDel="00536D45">
        <w:rPr>
          <w:rFonts w:asciiTheme="majorBidi" w:hAnsiTheme="majorBidi" w:cstheme="majorBidi"/>
          <w:sz w:val="24"/>
          <w:szCs w:val="24"/>
        </w:rPr>
        <w:t xml:space="preserve"> </w:t>
      </w:r>
      <w:r w:rsidDel="00536D45">
        <w:rPr>
          <w:rFonts w:asciiTheme="majorBidi" w:hAnsiTheme="majorBidi" w:cstheme="majorBidi"/>
          <w:sz w:val="24"/>
          <w:szCs w:val="24"/>
        </w:rPr>
        <w:t>are</w:t>
      </w:r>
      <w:r w:rsidRPr="00FC05DE" w:rsidDel="00536D45">
        <w:rPr>
          <w:rFonts w:asciiTheme="majorBidi" w:hAnsiTheme="majorBidi" w:cstheme="majorBidi"/>
          <w:sz w:val="24"/>
          <w:szCs w:val="24"/>
        </w:rPr>
        <w:t xml:space="preserve"> </w:t>
      </w:r>
      <w:r>
        <w:rPr>
          <w:rFonts w:asciiTheme="majorBidi" w:hAnsiTheme="majorBidi" w:cstheme="majorBidi"/>
          <w:sz w:val="24"/>
          <w:szCs w:val="24"/>
        </w:rPr>
        <w:t xml:space="preserve">widely and </w:t>
      </w:r>
      <w:r w:rsidRPr="00FC05DE" w:rsidDel="00536D45">
        <w:rPr>
          <w:rFonts w:asciiTheme="majorBidi" w:hAnsiTheme="majorBidi" w:cstheme="majorBidi"/>
          <w:sz w:val="24"/>
          <w:szCs w:val="24"/>
        </w:rPr>
        <w:t>nationally publicized</w:t>
      </w:r>
      <w:r>
        <w:rPr>
          <w:rFonts w:asciiTheme="majorBidi" w:hAnsiTheme="majorBidi" w:cstheme="majorBidi"/>
          <w:sz w:val="24"/>
          <w:szCs w:val="24"/>
        </w:rPr>
        <w:t>,</w:t>
      </w:r>
      <w:r w:rsidRPr="00FC05DE" w:rsidDel="00536D45">
        <w:rPr>
          <w:rFonts w:asciiTheme="majorBidi" w:hAnsiTheme="majorBidi" w:cstheme="majorBidi"/>
          <w:sz w:val="24"/>
          <w:szCs w:val="24"/>
        </w:rPr>
        <w:t xml:space="preserve"> </w:t>
      </w:r>
      <w:r w:rsidDel="00536D45">
        <w:rPr>
          <w:rFonts w:asciiTheme="majorBidi" w:hAnsiTheme="majorBidi" w:cstheme="majorBidi"/>
          <w:sz w:val="24"/>
          <w:szCs w:val="24"/>
        </w:rPr>
        <w:t>(</w:t>
      </w:r>
      <w:r>
        <w:rPr>
          <w:rFonts w:asciiTheme="majorBidi" w:hAnsiTheme="majorBidi" w:cstheme="majorBidi"/>
          <w:sz w:val="24"/>
          <w:szCs w:val="24"/>
        </w:rPr>
        <w:t>4</w:t>
      </w:r>
      <w:r w:rsidDel="00536D45">
        <w:rPr>
          <w:rFonts w:asciiTheme="majorBidi" w:hAnsiTheme="majorBidi" w:cstheme="majorBidi"/>
          <w:sz w:val="24"/>
          <w:szCs w:val="24"/>
        </w:rPr>
        <w:t>)</w:t>
      </w:r>
      <w:r w:rsidRPr="00FC05DE" w:rsidDel="00536D45">
        <w:rPr>
          <w:rFonts w:asciiTheme="majorBidi" w:hAnsiTheme="majorBidi" w:cstheme="majorBidi"/>
          <w:sz w:val="24"/>
          <w:szCs w:val="24"/>
        </w:rPr>
        <w:t xml:space="preserve"> </w:t>
      </w:r>
      <w:r>
        <w:rPr>
          <w:rFonts w:asciiTheme="majorBidi" w:hAnsiTheme="majorBidi" w:cstheme="majorBidi"/>
          <w:sz w:val="24"/>
          <w:szCs w:val="24"/>
        </w:rPr>
        <w:t>t</w:t>
      </w:r>
      <w:r w:rsidRPr="00FC05DE" w:rsidDel="00536D45">
        <w:rPr>
          <w:rFonts w:asciiTheme="majorBidi" w:hAnsiTheme="majorBidi" w:cstheme="majorBidi"/>
          <w:sz w:val="24"/>
          <w:szCs w:val="24"/>
        </w:rPr>
        <w:t>h</w:t>
      </w:r>
      <w:r>
        <w:rPr>
          <w:rFonts w:asciiTheme="majorBidi" w:hAnsiTheme="majorBidi" w:cstheme="majorBidi"/>
          <w:sz w:val="24"/>
          <w:szCs w:val="24"/>
        </w:rPr>
        <w:t>e campaigns</w:t>
      </w:r>
      <w:r w:rsidRPr="00FC05DE" w:rsidDel="00536D45">
        <w:rPr>
          <w:rFonts w:asciiTheme="majorBidi" w:hAnsiTheme="majorBidi" w:cstheme="majorBidi"/>
          <w:sz w:val="24"/>
          <w:szCs w:val="24"/>
        </w:rPr>
        <w:t xml:space="preserve"> </w:t>
      </w:r>
      <w:r w:rsidDel="00536D45">
        <w:rPr>
          <w:rFonts w:asciiTheme="majorBidi" w:hAnsiTheme="majorBidi" w:cstheme="majorBidi"/>
          <w:sz w:val="24"/>
          <w:szCs w:val="24"/>
        </w:rPr>
        <w:t>are</w:t>
      </w:r>
      <w:r w:rsidRPr="00FC05DE" w:rsidDel="00536D45">
        <w:rPr>
          <w:rFonts w:asciiTheme="majorBidi" w:hAnsiTheme="majorBidi" w:cstheme="majorBidi"/>
          <w:sz w:val="24"/>
          <w:szCs w:val="24"/>
        </w:rPr>
        <w:t xml:space="preserve"> related to long</w:t>
      </w:r>
      <w:r w:rsidDel="00536D45">
        <w:rPr>
          <w:rFonts w:asciiTheme="majorBidi" w:hAnsiTheme="majorBidi" w:cstheme="majorBidi"/>
          <w:sz w:val="24"/>
          <w:szCs w:val="24"/>
        </w:rPr>
        <w:t>-</w:t>
      </w:r>
      <w:r w:rsidRPr="00FC05DE" w:rsidDel="00536D45">
        <w:rPr>
          <w:rFonts w:asciiTheme="majorBidi" w:hAnsiTheme="majorBidi" w:cstheme="majorBidi"/>
          <w:sz w:val="24"/>
          <w:szCs w:val="24"/>
        </w:rPr>
        <w:t>term retirement savings,</w:t>
      </w:r>
      <w:r>
        <w:rPr>
          <w:rFonts w:asciiTheme="majorBidi" w:hAnsiTheme="majorBidi" w:cstheme="majorBidi"/>
          <w:sz w:val="24"/>
          <w:szCs w:val="24"/>
        </w:rPr>
        <w:t xml:space="preserve"> a topic were savers engagement has grave repercussions for their wellbeing. Additionally long-term retirement savings is </w:t>
      </w:r>
      <w:r w:rsidRPr="00FC05DE" w:rsidDel="00536D45">
        <w:rPr>
          <w:rFonts w:asciiTheme="majorBidi" w:hAnsiTheme="majorBidi" w:cstheme="majorBidi"/>
          <w:sz w:val="24"/>
          <w:szCs w:val="24"/>
        </w:rPr>
        <w:t>a topic important to the public in Israel (</w:t>
      </w:r>
      <w:proofErr w:type="spellStart"/>
      <w:r w:rsidRPr="00FC05DE" w:rsidDel="00536D45">
        <w:rPr>
          <w:rFonts w:asciiTheme="majorBidi" w:hAnsiTheme="majorBidi" w:cstheme="majorBidi"/>
          <w:sz w:val="24"/>
          <w:szCs w:val="24"/>
        </w:rPr>
        <w:t>Mugerman</w:t>
      </w:r>
      <w:proofErr w:type="spellEnd"/>
      <w:r w:rsidRPr="00FC05DE" w:rsidDel="00536D45">
        <w:rPr>
          <w:rFonts w:asciiTheme="majorBidi" w:hAnsiTheme="majorBidi" w:cstheme="majorBidi"/>
          <w:sz w:val="24"/>
          <w:szCs w:val="24"/>
        </w:rPr>
        <w:t xml:space="preserve"> </w:t>
      </w:r>
      <w:r w:rsidDel="00536D45">
        <w:rPr>
          <w:rFonts w:asciiTheme="majorBidi" w:hAnsiTheme="majorBidi" w:cstheme="majorBidi"/>
          <w:sz w:val="24"/>
          <w:szCs w:val="24"/>
        </w:rPr>
        <w:t>et al.</w:t>
      </w:r>
      <w:r w:rsidRPr="00FC05DE" w:rsidDel="00536D45">
        <w:rPr>
          <w:rFonts w:asciiTheme="majorBidi" w:hAnsiTheme="majorBidi" w:cstheme="majorBidi"/>
          <w:sz w:val="24"/>
          <w:szCs w:val="24"/>
        </w:rPr>
        <w:t xml:space="preserve"> 2014)</w:t>
      </w:r>
      <w:r>
        <w:rPr>
          <w:rFonts w:asciiTheme="majorBidi" w:hAnsiTheme="majorBidi" w:cstheme="majorBidi"/>
          <w:sz w:val="24"/>
          <w:szCs w:val="24"/>
        </w:rPr>
        <w:t>,</w:t>
      </w:r>
      <w:r w:rsidRPr="00FC05DE" w:rsidDel="00536D45">
        <w:rPr>
          <w:rFonts w:asciiTheme="majorBidi" w:hAnsiTheme="majorBidi" w:cstheme="majorBidi"/>
          <w:sz w:val="24"/>
          <w:szCs w:val="24"/>
        </w:rPr>
        <w:t xml:space="preserve"> </w:t>
      </w:r>
      <w:r w:rsidDel="00536D45">
        <w:rPr>
          <w:rFonts w:asciiTheme="majorBidi" w:hAnsiTheme="majorBidi" w:cstheme="majorBidi"/>
          <w:sz w:val="24"/>
          <w:szCs w:val="24"/>
        </w:rPr>
        <w:t>(</w:t>
      </w:r>
      <w:r>
        <w:rPr>
          <w:rFonts w:asciiTheme="majorBidi" w:hAnsiTheme="majorBidi" w:cstheme="majorBidi"/>
          <w:sz w:val="24"/>
          <w:szCs w:val="24"/>
        </w:rPr>
        <w:t>5</w:t>
      </w:r>
      <w:r w:rsidDel="00536D45">
        <w:rPr>
          <w:rFonts w:asciiTheme="majorBidi" w:hAnsiTheme="majorBidi" w:cstheme="majorBidi"/>
          <w:sz w:val="24"/>
          <w:szCs w:val="24"/>
        </w:rPr>
        <w:t>)</w:t>
      </w:r>
      <w:r w:rsidRPr="00FC05DE" w:rsidDel="00536D45">
        <w:rPr>
          <w:rFonts w:asciiTheme="majorBidi" w:hAnsiTheme="majorBidi" w:cstheme="majorBidi"/>
          <w:sz w:val="24"/>
          <w:szCs w:val="24"/>
        </w:rPr>
        <w:t xml:space="preserve"> </w:t>
      </w:r>
      <w:r>
        <w:rPr>
          <w:rFonts w:asciiTheme="majorBidi" w:hAnsiTheme="majorBidi" w:cstheme="majorBidi"/>
          <w:sz w:val="24"/>
          <w:szCs w:val="24"/>
        </w:rPr>
        <w:t>e</w:t>
      </w:r>
      <w:r w:rsidRPr="00FC05DE" w:rsidDel="00536D45">
        <w:rPr>
          <w:rFonts w:asciiTheme="majorBidi" w:hAnsiTheme="majorBidi" w:cstheme="majorBidi"/>
          <w:sz w:val="24"/>
          <w:szCs w:val="24"/>
        </w:rPr>
        <w:t xml:space="preserve">ven though the </w:t>
      </w:r>
      <w:r w:rsidDel="00536D45">
        <w:rPr>
          <w:rFonts w:asciiTheme="majorBidi" w:hAnsiTheme="majorBidi" w:cstheme="majorBidi"/>
          <w:sz w:val="24"/>
          <w:szCs w:val="24"/>
        </w:rPr>
        <w:t xml:space="preserve">financial </w:t>
      </w:r>
      <w:r w:rsidRPr="00FC05DE" w:rsidDel="00536D45">
        <w:rPr>
          <w:rFonts w:asciiTheme="majorBidi" w:hAnsiTheme="majorBidi" w:cstheme="majorBidi"/>
          <w:sz w:val="24"/>
          <w:szCs w:val="24"/>
        </w:rPr>
        <w:t xml:space="preserve">actions required </w:t>
      </w:r>
      <w:r w:rsidDel="00536D45">
        <w:rPr>
          <w:rFonts w:asciiTheme="majorBidi" w:hAnsiTheme="majorBidi" w:cstheme="majorBidi"/>
          <w:sz w:val="24"/>
          <w:szCs w:val="24"/>
        </w:rPr>
        <w:t>are</w:t>
      </w:r>
      <w:r w:rsidRPr="00FC05DE" w:rsidDel="00536D45">
        <w:rPr>
          <w:rFonts w:asciiTheme="majorBidi" w:hAnsiTheme="majorBidi" w:cstheme="majorBidi"/>
          <w:sz w:val="24"/>
          <w:szCs w:val="24"/>
        </w:rPr>
        <w:t xml:space="preserve"> simple, the financial </w:t>
      </w:r>
      <w:r w:rsidDel="00536D45">
        <w:rPr>
          <w:rFonts w:asciiTheme="majorBidi" w:hAnsiTheme="majorBidi" w:cstheme="majorBidi"/>
          <w:sz w:val="24"/>
          <w:szCs w:val="24"/>
        </w:rPr>
        <w:t>“</w:t>
      </w:r>
      <w:r w:rsidRPr="00FC05DE" w:rsidDel="00536D45">
        <w:rPr>
          <w:rFonts w:asciiTheme="majorBidi" w:hAnsiTheme="majorBidi" w:cstheme="majorBidi"/>
          <w:sz w:val="24"/>
          <w:szCs w:val="24"/>
        </w:rPr>
        <w:t>jargon</w:t>
      </w:r>
      <w:r w:rsidDel="00536D45">
        <w:rPr>
          <w:rFonts w:asciiTheme="majorBidi" w:hAnsiTheme="majorBidi" w:cstheme="majorBidi"/>
          <w:sz w:val="24"/>
          <w:szCs w:val="24"/>
        </w:rPr>
        <w:t>”</w:t>
      </w:r>
      <w:r w:rsidRPr="00FC05DE" w:rsidDel="00536D45">
        <w:rPr>
          <w:rFonts w:asciiTheme="majorBidi" w:hAnsiTheme="majorBidi" w:cstheme="majorBidi"/>
          <w:sz w:val="24"/>
          <w:szCs w:val="24"/>
        </w:rPr>
        <w:t xml:space="preserve"> might </w:t>
      </w:r>
      <w:r w:rsidDel="00536D45">
        <w:rPr>
          <w:rFonts w:asciiTheme="majorBidi" w:hAnsiTheme="majorBidi" w:cstheme="majorBidi"/>
          <w:sz w:val="24"/>
          <w:szCs w:val="24"/>
        </w:rPr>
        <w:t>deter</w:t>
      </w:r>
      <w:r w:rsidRPr="00FC05DE" w:rsidDel="00536D45">
        <w:rPr>
          <w:rFonts w:asciiTheme="majorBidi" w:hAnsiTheme="majorBidi" w:cstheme="majorBidi"/>
          <w:sz w:val="24"/>
          <w:szCs w:val="24"/>
        </w:rPr>
        <w:t xml:space="preserve"> individuals and </w:t>
      </w:r>
      <w:r w:rsidDel="00536D45">
        <w:rPr>
          <w:rFonts w:asciiTheme="majorBidi" w:hAnsiTheme="majorBidi" w:cstheme="majorBidi"/>
          <w:sz w:val="24"/>
          <w:szCs w:val="24"/>
        </w:rPr>
        <w:t>a</w:t>
      </w:r>
      <w:r w:rsidRPr="00FC05DE" w:rsidDel="00536D45">
        <w:rPr>
          <w:rFonts w:asciiTheme="majorBidi" w:hAnsiTheme="majorBidi" w:cstheme="majorBidi"/>
          <w:sz w:val="24"/>
          <w:szCs w:val="24"/>
        </w:rPr>
        <w:t xml:space="preserve">ffect </w:t>
      </w:r>
      <w:r w:rsidDel="00536D45">
        <w:rPr>
          <w:rFonts w:asciiTheme="majorBidi" w:hAnsiTheme="majorBidi" w:cstheme="majorBidi"/>
          <w:sz w:val="24"/>
          <w:szCs w:val="24"/>
        </w:rPr>
        <w:t xml:space="preserve">the reception of the </w:t>
      </w:r>
      <w:r w:rsidRPr="00AA719F" w:rsidDel="00536D45">
        <w:rPr>
          <w:rFonts w:asciiTheme="majorBidi" w:hAnsiTheme="majorBidi" w:cstheme="majorBidi"/>
          <w:sz w:val="24"/>
          <w:szCs w:val="24"/>
        </w:rPr>
        <w:t>information</w:t>
      </w:r>
      <w:r>
        <w:rPr>
          <w:rFonts w:asciiTheme="majorBidi" w:hAnsiTheme="majorBidi" w:cstheme="majorBidi"/>
          <w:sz w:val="24"/>
          <w:szCs w:val="24"/>
        </w:rPr>
        <w:t>,</w:t>
      </w:r>
      <w:r w:rsidRPr="00AA719F" w:rsidDel="00536D45">
        <w:rPr>
          <w:rFonts w:asciiTheme="majorBidi" w:hAnsiTheme="majorBidi" w:cstheme="majorBidi"/>
          <w:sz w:val="24"/>
          <w:szCs w:val="24"/>
        </w:rPr>
        <w:t xml:space="preserve"> (</w:t>
      </w:r>
      <w:r>
        <w:rPr>
          <w:rFonts w:asciiTheme="majorBidi" w:hAnsiTheme="majorBidi" w:cstheme="majorBidi"/>
          <w:sz w:val="24"/>
          <w:szCs w:val="24"/>
        </w:rPr>
        <w:t>6</w:t>
      </w:r>
      <w:r w:rsidRPr="00AA719F" w:rsidDel="00536D45">
        <w:rPr>
          <w:rFonts w:asciiTheme="majorBidi" w:hAnsiTheme="majorBidi" w:cstheme="majorBidi"/>
          <w:sz w:val="24"/>
          <w:szCs w:val="24"/>
        </w:rPr>
        <w:t>)</w:t>
      </w:r>
      <w:r w:rsidRPr="003C060D" w:rsidDel="00536D45">
        <w:rPr>
          <w:rFonts w:asciiTheme="majorBidi" w:hAnsiTheme="majorBidi" w:cstheme="majorBidi"/>
          <w:sz w:val="24"/>
          <w:szCs w:val="24"/>
        </w:rPr>
        <w:t xml:space="preserve"> </w:t>
      </w:r>
      <w:r>
        <w:rPr>
          <w:rFonts w:asciiTheme="majorBidi" w:hAnsiTheme="majorBidi" w:cstheme="majorBidi"/>
          <w:sz w:val="24"/>
          <w:szCs w:val="24"/>
        </w:rPr>
        <w:t>t</w:t>
      </w:r>
      <w:r w:rsidRPr="003C060D">
        <w:rPr>
          <w:rFonts w:asciiTheme="majorBidi" w:hAnsiTheme="majorBidi" w:cstheme="majorBidi"/>
          <w:sz w:val="24"/>
          <w:szCs w:val="24"/>
        </w:rPr>
        <w:t xml:space="preserve">he </w:t>
      </w:r>
      <w:r>
        <w:rPr>
          <w:rFonts w:asciiTheme="majorBidi" w:hAnsiTheme="majorBidi" w:cstheme="majorBidi"/>
          <w:sz w:val="24"/>
          <w:szCs w:val="24"/>
        </w:rPr>
        <w:t>natural experiment</w:t>
      </w:r>
      <w:r w:rsidRPr="003C060D">
        <w:rPr>
          <w:rFonts w:asciiTheme="majorBidi" w:hAnsiTheme="majorBidi" w:cstheme="majorBidi"/>
          <w:sz w:val="24"/>
          <w:szCs w:val="24"/>
        </w:rPr>
        <w:t xml:space="preserve"> contributes to t</w:t>
      </w:r>
      <w:r>
        <w:rPr>
          <w:rFonts w:asciiTheme="majorBidi" w:hAnsiTheme="majorBidi" w:cstheme="majorBidi"/>
          <w:sz w:val="24"/>
          <w:szCs w:val="24"/>
        </w:rPr>
        <w:t>wo</w:t>
      </w:r>
      <w:r w:rsidRPr="003C060D">
        <w:rPr>
          <w:rFonts w:asciiTheme="majorBidi" w:hAnsiTheme="majorBidi" w:cstheme="majorBidi"/>
          <w:sz w:val="24"/>
          <w:szCs w:val="24"/>
        </w:rPr>
        <w:t xml:space="preserve"> key </w:t>
      </w:r>
      <w:r>
        <w:rPr>
          <w:rFonts w:asciiTheme="majorBidi" w:hAnsiTheme="majorBidi" w:cstheme="majorBidi"/>
          <w:sz w:val="24"/>
          <w:szCs w:val="24"/>
        </w:rPr>
        <w:t xml:space="preserve">literature </w:t>
      </w:r>
      <w:r w:rsidRPr="003C060D">
        <w:rPr>
          <w:rFonts w:asciiTheme="majorBidi" w:hAnsiTheme="majorBidi" w:cstheme="majorBidi"/>
          <w:sz w:val="24"/>
          <w:szCs w:val="24"/>
        </w:rPr>
        <w:t xml:space="preserve">areas discussed </w:t>
      </w:r>
      <w:r w:rsidRPr="003C060D">
        <w:rPr>
          <w:rFonts w:asciiTheme="majorBidi" w:hAnsiTheme="majorBidi" w:cstheme="majorBidi"/>
          <w:sz w:val="24"/>
          <w:szCs w:val="24"/>
          <w:lang w:val="en-GB"/>
        </w:rPr>
        <w:t>below</w:t>
      </w:r>
      <w:r>
        <w:rPr>
          <w:rFonts w:asciiTheme="majorBidi" w:hAnsiTheme="majorBidi" w:cstheme="majorBidi"/>
          <w:sz w:val="24"/>
          <w:szCs w:val="24"/>
          <w:lang w:val="en-GB"/>
        </w:rPr>
        <w:t>: benefits take-up and financial literacy</w:t>
      </w:r>
      <w:r w:rsidRPr="003C060D">
        <w:rPr>
          <w:rFonts w:asciiTheme="majorBidi" w:hAnsiTheme="majorBidi" w:cstheme="majorBidi"/>
          <w:sz w:val="24"/>
          <w:szCs w:val="24"/>
          <w:lang w:val="en-GB"/>
        </w:rPr>
        <w:t xml:space="preserve">. </w:t>
      </w:r>
      <w:r w:rsidRPr="00AA719F" w:rsidDel="00536D45">
        <w:rPr>
          <w:rFonts w:asciiTheme="majorBidi" w:hAnsiTheme="majorBidi" w:cstheme="majorBidi"/>
          <w:sz w:val="24"/>
          <w:szCs w:val="24"/>
        </w:rPr>
        <w:t xml:space="preserve">In addition, it is </w:t>
      </w:r>
      <w:r>
        <w:rPr>
          <w:rFonts w:asciiTheme="majorBidi" w:hAnsiTheme="majorBidi" w:cstheme="majorBidi"/>
          <w:sz w:val="24"/>
          <w:szCs w:val="24"/>
        </w:rPr>
        <w:t>related to the growing interest in</w:t>
      </w:r>
      <w:r w:rsidRPr="00AA719F" w:rsidDel="00536D45">
        <w:rPr>
          <w:rFonts w:asciiTheme="majorBidi" w:hAnsiTheme="majorBidi" w:cstheme="majorBidi"/>
          <w:sz w:val="24"/>
          <w:szCs w:val="24"/>
        </w:rPr>
        <w:t xml:space="preserve"> the technological and digital aspects of </w:t>
      </w:r>
      <w:r>
        <w:rPr>
          <w:rFonts w:asciiTheme="majorBidi" w:hAnsiTheme="majorBidi" w:cstheme="majorBidi"/>
          <w:sz w:val="24"/>
          <w:szCs w:val="24"/>
        </w:rPr>
        <w:t>financial</w:t>
      </w:r>
      <w:r w:rsidRPr="00AA719F" w:rsidDel="00536D45">
        <w:rPr>
          <w:rFonts w:asciiTheme="majorBidi" w:hAnsiTheme="majorBidi" w:cstheme="majorBidi"/>
          <w:sz w:val="24"/>
          <w:szCs w:val="24"/>
        </w:rPr>
        <w:t xml:space="preserve"> regulation. </w:t>
      </w:r>
    </w:p>
    <w:p w:rsidR="00132BCF" w:rsidRDefault="00132BCF" w:rsidP="00132BCF">
      <w:pPr>
        <w:autoSpaceDE w:val="0"/>
        <w:autoSpaceDN w:val="0"/>
        <w:bidi w:val="0"/>
        <w:adjustRightInd w:val="0"/>
        <w:spacing w:after="100" w:afterAutospacing="1" w:line="360" w:lineRule="auto"/>
        <w:rPr>
          <w:rFonts w:asciiTheme="majorBidi" w:hAnsiTheme="majorBidi" w:cstheme="majorBidi"/>
          <w:sz w:val="24"/>
          <w:szCs w:val="24"/>
        </w:rPr>
      </w:pPr>
      <w:r>
        <w:rPr>
          <w:rFonts w:asciiTheme="majorBidi" w:hAnsiTheme="majorBidi" w:cstheme="majorBidi" w:hint="cs"/>
          <w:sz w:val="24"/>
          <w:szCs w:val="24"/>
        </w:rPr>
        <w:t>I</w:t>
      </w:r>
      <w:r>
        <w:rPr>
          <w:rFonts w:asciiTheme="majorBidi" w:hAnsiTheme="majorBidi" w:cstheme="majorBidi"/>
          <w:sz w:val="24"/>
          <w:szCs w:val="24"/>
        </w:rPr>
        <w:t xml:space="preserve">n this paper we aim to increase our understanding on the relation of financial literacy to the success of consumer oriented digital financial regulatory campaigns. Given that financial literacy is one of our focuses, we would like to acknowledge that there is an ongoing discussion in the academic literature regarding how to define it. </w:t>
      </w:r>
      <w:r w:rsidRPr="00FC05DE">
        <w:rPr>
          <w:rFonts w:asciiTheme="majorBidi" w:hAnsiTheme="majorBidi" w:cstheme="majorBidi"/>
          <w:sz w:val="24"/>
          <w:szCs w:val="24"/>
        </w:rPr>
        <w:t xml:space="preserve">The Organization for Economic Cooperation and Development (OECD) describes </w:t>
      </w:r>
      <w:r w:rsidRPr="00FC05DE">
        <w:rPr>
          <w:rFonts w:asciiTheme="majorBidi" w:hAnsiTheme="majorBidi" w:cstheme="majorBidi"/>
          <w:sz w:val="24"/>
          <w:szCs w:val="24"/>
        </w:rPr>
        <w:lastRenderedPageBreak/>
        <w:t xml:space="preserve">financial literacy as </w:t>
      </w:r>
      <w:r>
        <w:rPr>
          <w:rFonts w:asciiTheme="majorBidi" w:hAnsiTheme="majorBidi" w:cstheme="majorBidi"/>
          <w:sz w:val="24"/>
          <w:szCs w:val="24"/>
        </w:rPr>
        <w:t>“</w:t>
      </w:r>
      <w:r w:rsidRPr="00FC05DE">
        <w:rPr>
          <w:rFonts w:asciiTheme="majorBidi" w:hAnsiTheme="majorBidi" w:cstheme="majorBidi"/>
          <w:sz w:val="24"/>
          <w:szCs w:val="24"/>
        </w:rPr>
        <w:t xml:space="preserve">the combination of customers’/investors’ understanding of financial products and concepts, and their ability and confidence to appreciate financial risks and opportunities, to make informed choices, to know where to go for help, and to take other effective actions to improve their financial well-being” (Atkinson and Messy </w:t>
      </w:r>
      <w:r>
        <w:rPr>
          <w:rFonts w:asciiTheme="majorBidi" w:hAnsiTheme="majorBidi" w:cstheme="majorBidi"/>
          <w:sz w:val="24"/>
          <w:szCs w:val="24"/>
        </w:rPr>
        <w:t>(</w:t>
      </w:r>
      <w:r w:rsidRPr="00FC05DE">
        <w:rPr>
          <w:rFonts w:asciiTheme="majorBidi" w:hAnsiTheme="majorBidi" w:cstheme="majorBidi"/>
          <w:sz w:val="24"/>
          <w:szCs w:val="24"/>
        </w:rPr>
        <w:t>2012</w:t>
      </w:r>
      <w:r>
        <w:rPr>
          <w:rFonts w:asciiTheme="majorBidi" w:hAnsiTheme="majorBidi" w:cstheme="majorBidi"/>
          <w:sz w:val="24"/>
          <w:szCs w:val="24"/>
        </w:rPr>
        <w:t>)</w:t>
      </w:r>
      <w:r w:rsidRPr="00FC05DE">
        <w:rPr>
          <w:rFonts w:asciiTheme="majorBidi" w:hAnsiTheme="majorBidi" w:cstheme="majorBidi"/>
          <w:sz w:val="24"/>
          <w:szCs w:val="24"/>
        </w:rPr>
        <w:t xml:space="preserve">). </w:t>
      </w:r>
      <w:r>
        <w:rPr>
          <w:rFonts w:asciiTheme="majorBidi" w:hAnsiTheme="majorBidi" w:cstheme="majorBidi"/>
          <w:sz w:val="24"/>
          <w:szCs w:val="24"/>
        </w:rPr>
        <w:t>I</w:t>
      </w:r>
      <w:r w:rsidRPr="00FC05DE">
        <w:rPr>
          <w:rFonts w:asciiTheme="majorBidi" w:hAnsiTheme="majorBidi" w:cstheme="majorBidi"/>
          <w:sz w:val="24"/>
          <w:szCs w:val="24"/>
        </w:rPr>
        <w:t xml:space="preserve">n </w:t>
      </w:r>
      <w:r>
        <w:rPr>
          <w:rFonts w:asciiTheme="majorBidi" w:hAnsiTheme="majorBidi" w:cstheme="majorBidi"/>
          <w:sz w:val="24"/>
          <w:szCs w:val="24"/>
        </w:rPr>
        <w:t>this paper we</w:t>
      </w:r>
      <w:r w:rsidRPr="00FC05DE">
        <w:rPr>
          <w:rFonts w:asciiTheme="majorBidi" w:hAnsiTheme="majorBidi" w:cstheme="majorBidi"/>
          <w:sz w:val="24"/>
          <w:szCs w:val="24"/>
        </w:rPr>
        <w:t xml:space="preserve"> use </w:t>
      </w:r>
      <w:r>
        <w:rPr>
          <w:rFonts w:asciiTheme="majorBidi" w:hAnsiTheme="majorBidi" w:cstheme="majorBidi"/>
          <w:sz w:val="24"/>
          <w:szCs w:val="24"/>
        </w:rPr>
        <w:t xml:space="preserve">the term </w:t>
      </w:r>
      <w:r>
        <w:rPr>
          <w:rFonts w:asciiTheme="majorBidi" w:hAnsiTheme="majorBidi" w:cstheme="majorBidi"/>
          <w:i/>
          <w:iCs/>
          <w:sz w:val="24"/>
          <w:szCs w:val="24"/>
        </w:rPr>
        <w:t xml:space="preserve">objective </w:t>
      </w:r>
      <w:r w:rsidRPr="00B538E5">
        <w:rPr>
          <w:rFonts w:asciiTheme="majorBidi" w:hAnsiTheme="majorBidi" w:cstheme="majorBidi"/>
          <w:i/>
          <w:iCs/>
          <w:sz w:val="24"/>
          <w:szCs w:val="24"/>
        </w:rPr>
        <w:t>financial literacy</w:t>
      </w:r>
      <w:r w:rsidRPr="00FC05DE">
        <w:rPr>
          <w:rFonts w:asciiTheme="majorBidi" w:hAnsiTheme="majorBidi" w:cstheme="majorBidi"/>
          <w:sz w:val="24"/>
          <w:szCs w:val="24"/>
        </w:rPr>
        <w:t xml:space="preserve"> to describe </w:t>
      </w:r>
      <w:r>
        <w:rPr>
          <w:rFonts w:asciiTheme="majorBidi" w:hAnsiTheme="majorBidi" w:cstheme="majorBidi"/>
          <w:sz w:val="24"/>
          <w:szCs w:val="24"/>
        </w:rPr>
        <w:t xml:space="preserve">one's </w:t>
      </w:r>
      <w:r w:rsidRPr="00B538E5">
        <w:rPr>
          <w:rFonts w:asciiTheme="majorBidi" w:hAnsiTheme="majorBidi" w:cstheme="majorBidi"/>
          <w:i/>
          <w:iCs/>
          <w:sz w:val="24"/>
          <w:szCs w:val="24"/>
        </w:rPr>
        <w:t>objective</w:t>
      </w:r>
      <w:r w:rsidRPr="00FC05DE">
        <w:rPr>
          <w:rFonts w:asciiTheme="majorBidi" w:hAnsiTheme="majorBidi" w:cstheme="majorBidi"/>
          <w:sz w:val="24"/>
          <w:szCs w:val="24"/>
        </w:rPr>
        <w:t xml:space="preserve"> literacy</w:t>
      </w:r>
      <w:r>
        <w:rPr>
          <w:rFonts w:asciiTheme="majorBidi" w:hAnsiTheme="majorBidi" w:cstheme="majorBidi"/>
          <w:sz w:val="24"/>
          <w:szCs w:val="24"/>
        </w:rPr>
        <w:t xml:space="preserve"> regarding general issues and we based our measure on a common measure in the academic literature (an index of the number of correct answers to three financial questions first presented by Lusardi and Mitchell (2007)). </w:t>
      </w:r>
      <w:r w:rsidRPr="00FC05DE">
        <w:rPr>
          <w:rFonts w:asciiTheme="majorBidi" w:hAnsiTheme="majorBidi" w:cstheme="majorBidi"/>
          <w:sz w:val="24"/>
          <w:szCs w:val="24"/>
        </w:rPr>
        <w:t xml:space="preserve">In </w:t>
      </w:r>
      <w:r>
        <w:rPr>
          <w:rFonts w:asciiTheme="majorBidi" w:hAnsiTheme="majorBidi" w:cstheme="majorBidi"/>
          <w:sz w:val="24"/>
          <w:szCs w:val="24"/>
        </w:rPr>
        <w:t>addition to objective financial literacy,</w:t>
      </w:r>
      <w:r w:rsidRPr="00FC05DE">
        <w:rPr>
          <w:rFonts w:asciiTheme="majorBidi" w:hAnsiTheme="majorBidi" w:cstheme="majorBidi"/>
          <w:sz w:val="24"/>
          <w:szCs w:val="24"/>
        </w:rPr>
        <w:t xml:space="preserve"> we investigate another aspect </w:t>
      </w:r>
      <w:r>
        <w:rPr>
          <w:rFonts w:asciiTheme="majorBidi" w:hAnsiTheme="majorBidi" w:cstheme="majorBidi"/>
          <w:sz w:val="24"/>
          <w:szCs w:val="24"/>
        </w:rPr>
        <w:t>of the OECD definition</w:t>
      </w:r>
      <w:r w:rsidRPr="00FC05DE">
        <w:rPr>
          <w:rFonts w:asciiTheme="majorBidi" w:hAnsiTheme="majorBidi" w:cstheme="majorBidi"/>
          <w:sz w:val="24"/>
          <w:szCs w:val="24"/>
        </w:rPr>
        <w:t xml:space="preserve"> of financial literacy</w:t>
      </w:r>
      <w:r>
        <w:rPr>
          <w:rFonts w:asciiTheme="majorBidi" w:hAnsiTheme="majorBidi" w:cstheme="majorBidi"/>
          <w:sz w:val="24"/>
          <w:szCs w:val="24"/>
        </w:rPr>
        <w:t xml:space="preserve">, namely, </w:t>
      </w:r>
      <w:r w:rsidRPr="00B538E5">
        <w:rPr>
          <w:rFonts w:asciiTheme="majorBidi" w:hAnsiTheme="majorBidi" w:cstheme="majorBidi"/>
          <w:i/>
          <w:iCs/>
          <w:sz w:val="24"/>
          <w:szCs w:val="24"/>
        </w:rPr>
        <w:t>subjective</w:t>
      </w:r>
      <w:r w:rsidRPr="004D1F21">
        <w:rPr>
          <w:rFonts w:asciiTheme="majorBidi" w:hAnsiTheme="majorBidi" w:cstheme="majorBidi"/>
          <w:b/>
          <w:bCs/>
          <w:i/>
          <w:iCs/>
          <w:sz w:val="24"/>
          <w:szCs w:val="24"/>
        </w:rPr>
        <w:t xml:space="preserve"> </w:t>
      </w:r>
      <w:r>
        <w:rPr>
          <w:rFonts w:asciiTheme="majorBidi" w:hAnsiTheme="majorBidi" w:cstheme="majorBidi"/>
          <w:sz w:val="24"/>
          <w:szCs w:val="24"/>
        </w:rPr>
        <w:t xml:space="preserve">financial literacy, which is </w:t>
      </w:r>
      <w:r w:rsidRPr="00FC05DE">
        <w:rPr>
          <w:rFonts w:asciiTheme="majorBidi" w:hAnsiTheme="majorBidi" w:cstheme="majorBidi"/>
          <w:sz w:val="24"/>
          <w:szCs w:val="24"/>
        </w:rPr>
        <w:t>confidence in one</w:t>
      </w:r>
      <w:r>
        <w:rPr>
          <w:rFonts w:asciiTheme="majorBidi" w:hAnsiTheme="majorBidi" w:cstheme="majorBidi"/>
          <w:sz w:val="24"/>
          <w:szCs w:val="24"/>
        </w:rPr>
        <w:t>’</w:t>
      </w:r>
      <w:r w:rsidRPr="00FC05DE">
        <w:rPr>
          <w:rFonts w:asciiTheme="majorBidi" w:hAnsiTheme="majorBidi" w:cstheme="majorBidi"/>
          <w:sz w:val="24"/>
          <w:szCs w:val="24"/>
        </w:rPr>
        <w:t>s own knowledge</w:t>
      </w:r>
      <w:r>
        <w:rPr>
          <w:rFonts w:asciiTheme="majorBidi" w:hAnsiTheme="majorBidi" w:cstheme="majorBidi"/>
          <w:sz w:val="24"/>
          <w:szCs w:val="24"/>
        </w:rPr>
        <w:t xml:space="preserve"> of financial issues</w:t>
      </w:r>
      <w:r w:rsidRPr="00FC05DE">
        <w:rPr>
          <w:rFonts w:asciiTheme="majorBidi" w:hAnsiTheme="majorBidi" w:cstheme="majorBidi"/>
          <w:sz w:val="24"/>
          <w:szCs w:val="24"/>
        </w:rPr>
        <w:t>.</w:t>
      </w:r>
      <w:r>
        <w:rPr>
          <w:rFonts w:asciiTheme="majorBidi" w:hAnsiTheme="majorBidi" w:cstheme="majorBidi"/>
          <w:sz w:val="24"/>
          <w:szCs w:val="24"/>
        </w:rPr>
        <w:t xml:space="preserve"> We focus on the confidence in one’s own knowledge in the specific subject matter; for this paper—confidence in one’s knowledge of retirement savings.</w:t>
      </w:r>
      <w:r w:rsidRPr="00FC05DE">
        <w:rPr>
          <w:rFonts w:asciiTheme="majorBidi" w:hAnsiTheme="majorBidi" w:cstheme="majorBidi"/>
          <w:sz w:val="24"/>
          <w:szCs w:val="24"/>
        </w:rPr>
        <w:t xml:space="preserve"> </w:t>
      </w:r>
      <w:r>
        <w:rPr>
          <w:rFonts w:asciiTheme="majorBidi" w:hAnsiTheme="majorBidi" w:cstheme="majorBidi"/>
          <w:sz w:val="24"/>
          <w:szCs w:val="24"/>
        </w:rPr>
        <w:t>Like</w:t>
      </w:r>
      <w:r w:rsidRPr="00FC05DE">
        <w:rPr>
          <w:rFonts w:asciiTheme="majorBidi" w:hAnsiTheme="majorBidi" w:cstheme="majorBidi"/>
          <w:sz w:val="24"/>
          <w:szCs w:val="24"/>
        </w:rPr>
        <w:t xml:space="preserve"> objective knowledge</w:t>
      </w:r>
      <w:r>
        <w:rPr>
          <w:rFonts w:asciiTheme="majorBidi" w:hAnsiTheme="majorBidi" w:cstheme="majorBidi"/>
          <w:sz w:val="24"/>
          <w:szCs w:val="24"/>
        </w:rPr>
        <w:t>,</w:t>
      </w:r>
      <w:r w:rsidRPr="00A55E63">
        <w:rPr>
          <w:rFonts w:asciiTheme="majorBidi" w:hAnsiTheme="majorBidi" w:cstheme="majorBidi"/>
          <w:i/>
          <w:iCs/>
          <w:sz w:val="24"/>
          <w:szCs w:val="24"/>
        </w:rPr>
        <w:t xml:space="preserve"> </w:t>
      </w:r>
      <w:r w:rsidRPr="00367F44">
        <w:rPr>
          <w:rFonts w:asciiTheme="majorBidi" w:hAnsiTheme="majorBidi" w:cstheme="majorBidi"/>
          <w:sz w:val="24"/>
          <w:szCs w:val="24"/>
        </w:rPr>
        <w:t>subjective</w:t>
      </w:r>
      <w:r w:rsidRPr="00FC05DE">
        <w:rPr>
          <w:rFonts w:asciiTheme="majorBidi" w:hAnsiTheme="majorBidi" w:cstheme="majorBidi"/>
          <w:sz w:val="24"/>
          <w:szCs w:val="24"/>
        </w:rPr>
        <w:t xml:space="preserve"> </w:t>
      </w:r>
      <w:r>
        <w:rPr>
          <w:rFonts w:asciiTheme="majorBidi" w:hAnsiTheme="majorBidi" w:cstheme="majorBidi"/>
          <w:sz w:val="24"/>
          <w:szCs w:val="24"/>
        </w:rPr>
        <w:t>c</w:t>
      </w:r>
      <w:r w:rsidRPr="00FC05DE">
        <w:rPr>
          <w:rFonts w:asciiTheme="majorBidi" w:hAnsiTheme="majorBidi" w:cstheme="majorBidi"/>
          <w:sz w:val="24"/>
          <w:szCs w:val="24"/>
        </w:rPr>
        <w:t>onfidence can affect a person’s financial behavior. Having confidence in one</w:t>
      </w:r>
      <w:r>
        <w:rPr>
          <w:rFonts w:asciiTheme="majorBidi" w:hAnsiTheme="majorBidi" w:cstheme="majorBidi"/>
          <w:sz w:val="24"/>
          <w:szCs w:val="24"/>
        </w:rPr>
        <w:t>’</w:t>
      </w:r>
      <w:r w:rsidRPr="00FC05DE">
        <w:rPr>
          <w:rFonts w:asciiTheme="majorBidi" w:hAnsiTheme="majorBidi" w:cstheme="majorBidi"/>
          <w:sz w:val="24"/>
          <w:szCs w:val="24"/>
        </w:rPr>
        <w:t>s own knowledge of the issue</w:t>
      </w:r>
      <w:r>
        <w:rPr>
          <w:rFonts w:asciiTheme="majorBidi" w:hAnsiTheme="majorBidi" w:cstheme="majorBidi"/>
          <w:sz w:val="24"/>
          <w:szCs w:val="24"/>
        </w:rPr>
        <w:t>s</w:t>
      </w:r>
      <w:r w:rsidRPr="00FC05DE">
        <w:rPr>
          <w:rFonts w:asciiTheme="majorBidi" w:hAnsiTheme="majorBidi" w:cstheme="majorBidi"/>
          <w:sz w:val="24"/>
          <w:szCs w:val="24"/>
        </w:rPr>
        <w:t xml:space="preserve"> mitigates the perceived difficulty of the task (even more than actual knowledge</w:t>
      </w:r>
      <w:r>
        <w:rPr>
          <w:rFonts w:asciiTheme="majorBidi" w:hAnsiTheme="majorBidi" w:cstheme="majorBidi"/>
          <w:sz w:val="24"/>
          <w:szCs w:val="24"/>
        </w:rPr>
        <w:t xml:space="preserve"> does</w:t>
      </w:r>
      <w:r w:rsidRPr="00FC05DE">
        <w:rPr>
          <w:rFonts w:asciiTheme="majorBidi" w:hAnsiTheme="majorBidi" w:cstheme="majorBidi"/>
          <w:sz w:val="24"/>
          <w:szCs w:val="24"/>
        </w:rPr>
        <w:t>) and hence overcomes the tendency to procrastinate and delay action.</w:t>
      </w:r>
      <w:r w:rsidRPr="00FC05DE">
        <w:rPr>
          <w:rStyle w:val="a5"/>
          <w:rFonts w:asciiTheme="majorBidi" w:hAnsiTheme="majorBidi" w:cstheme="majorBidi"/>
          <w:sz w:val="24"/>
          <w:szCs w:val="24"/>
        </w:rPr>
        <w:footnoteReference w:id="5"/>
      </w:r>
      <w:r w:rsidRPr="00FC05DE">
        <w:rPr>
          <w:rFonts w:asciiTheme="majorBidi" w:hAnsiTheme="majorBidi" w:cstheme="majorBidi"/>
          <w:sz w:val="24"/>
          <w:szCs w:val="24"/>
        </w:rPr>
        <w:t xml:space="preserve"> </w:t>
      </w:r>
    </w:p>
    <w:p w:rsidR="00132BCF" w:rsidRDefault="00132BCF" w:rsidP="00132BCF">
      <w:pPr>
        <w:pStyle w:val="Default"/>
        <w:spacing w:line="360" w:lineRule="auto"/>
        <w:rPr>
          <w:rFonts w:asciiTheme="majorBidi" w:hAnsiTheme="majorBidi" w:cstheme="majorBidi"/>
        </w:rPr>
      </w:pPr>
      <w:r w:rsidRPr="00FC05DE">
        <w:rPr>
          <w:rFonts w:asciiTheme="majorBidi" w:hAnsiTheme="majorBidi" w:cstheme="majorBidi"/>
        </w:rPr>
        <w:t>In order to investigate the effectiveness of the Money Mountain</w:t>
      </w:r>
      <w:r w:rsidRPr="00FC05DE">
        <w:rPr>
          <w:rFonts w:asciiTheme="majorBidi" w:hAnsiTheme="majorBidi" w:cstheme="majorBidi" w:hint="cs"/>
          <w:rtl/>
        </w:rPr>
        <w:t xml:space="preserve"> </w:t>
      </w:r>
      <w:r>
        <w:rPr>
          <w:rFonts w:asciiTheme="majorBidi" w:hAnsiTheme="majorBidi" w:cstheme="majorBidi"/>
        </w:rPr>
        <w:t xml:space="preserve">and tax exemption </w:t>
      </w:r>
      <w:r w:rsidRPr="00FC05DE">
        <w:rPr>
          <w:rFonts w:asciiTheme="majorBidi" w:hAnsiTheme="majorBidi" w:cstheme="majorBidi"/>
        </w:rPr>
        <w:t>campaigns, we use two data sets. The first data set is from a provident fund</w:t>
      </w:r>
      <w:r>
        <w:rPr>
          <w:rFonts w:asciiTheme="majorBidi" w:hAnsiTheme="majorBidi" w:cstheme="majorBidi"/>
        </w:rPr>
        <w:t xml:space="preserve"> provider</w:t>
      </w:r>
      <w:r w:rsidRPr="00FC05DE">
        <w:rPr>
          <w:rFonts w:asciiTheme="majorBidi" w:hAnsiTheme="majorBidi" w:cstheme="majorBidi"/>
        </w:rPr>
        <w:t xml:space="preserve">, and contains information on </w:t>
      </w:r>
      <w:r>
        <w:rPr>
          <w:rFonts w:asciiTheme="majorBidi" w:hAnsiTheme="majorBidi" w:cstheme="majorBidi"/>
        </w:rPr>
        <w:t xml:space="preserve">the number of </w:t>
      </w:r>
      <w:r w:rsidRPr="00FC05DE">
        <w:rPr>
          <w:rFonts w:asciiTheme="majorBidi" w:hAnsiTheme="majorBidi" w:cstheme="majorBidi"/>
        </w:rPr>
        <w:t>tax</w:t>
      </w:r>
      <w:r>
        <w:rPr>
          <w:rFonts w:asciiTheme="majorBidi" w:hAnsiTheme="majorBidi" w:cstheme="majorBidi"/>
        </w:rPr>
        <w:t>-</w:t>
      </w:r>
      <w:r w:rsidRPr="00FC05DE">
        <w:rPr>
          <w:rFonts w:asciiTheme="majorBidi" w:hAnsiTheme="majorBidi" w:cstheme="majorBidi"/>
        </w:rPr>
        <w:t xml:space="preserve">exempt </w:t>
      </w:r>
      <w:r>
        <w:rPr>
          <w:rFonts w:asciiTheme="majorBidi" w:hAnsiTheme="majorBidi" w:cstheme="majorBidi"/>
        </w:rPr>
        <w:t>accounts closed</w:t>
      </w:r>
      <w:r w:rsidRPr="00FC05DE">
        <w:rPr>
          <w:rFonts w:asciiTheme="majorBidi" w:hAnsiTheme="majorBidi" w:cstheme="majorBidi"/>
        </w:rPr>
        <w:t>, totaling over 12,000 eligible accounts. The second data set is a nationally representative Internet survey sample of 504 people</w:t>
      </w:r>
      <w:r>
        <w:rPr>
          <w:rFonts w:asciiTheme="majorBidi" w:hAnsiTheme="majorBidi" w:cstheme="majorBidi"/>
        </w:rPr>
        <w:t xml:space="preserve"> that</w:t>
      </w:r>
      <w:r w:rsidRPr="00FC05DE">
        <w:rPr>
          <w:rFonts w:asciiTheme="majorBidi" w:hAnsiTheme="majorBidi" w:cstheme="majorBidi"/>
        </w:rPr>
        <w:t xml:space="preserve"> was distributed in 2015 after the end of the campaigns. </w:t>
      </w:r>
      <w:r>
        <w:rPr>
          <w:rFonts w:asciiTheme="majorBidi" w:hAnsiTheme="majorBidi" w:cstheme="majorBidi"/>
        </w:rPr>
        <w:t>F</w:t>
      </w:r>
      <w:r>
        <w:rPr>
          <w:rFonts w:asciiTheme="majorBidi" w:hAnsiTheme="majorBidi" w:cstheme="majorBidi"/>
          <w:lang w:val="en-GB"/>
        </w:rPr>
        <w:t>or robustness checks,</w:t>
      </w:r>
      <w:r w:rsidRPr="00FC05DE">
        <w:rPr>
          <w:rFonts w:asciiTheme="majorBidi" w:hAnsiTheme="majorBidi" w:cstheme="majorBidi"/>
        </w:rPr>
        <w:t xml:space="preserve"> </w:t>
      </w:r>
      <w:r>
        <w:rPr>
          <w:rFonts w:asciiTheme="majorBidi" w:hAnsiTheme="majorBidi" w:cstheme="majorBidi"/>
        </w:rPr>
        <w:t>i</w:t>
      </w:r>
      <w:r w:rsidRPr="00FC05DE">
        <w:rPr>
          <w:rFonts w:asciiTheme="majorBidi" w:hAnsiTheme="majorBidi" w:cstheme="majorBidi"/>
        </w:rPr>
        <w:t>t is complemented by an additional sample</w:t>
      </w:r>
      <w:r w:rsidRPr="00C86401">
        <w:rPr>
          <w:rFonts w:asciiTheme="majorBidi" w:hAnsiTheme="majorBidi" w:cstheme="majorBidi"/>
          <w:lang w:val="en-GB"/>
        </w:rPr>
        <w:t xml:space="preserve"> </w:t>
      </w:r>
      <w:r w:rsidRPr="00FC05DE">
        <w:rPr>
          <w:rFonts w:asciiTheme="majorBidi" w:hAnsiTheme="majorBidi" w:cstheme="majorBidi"/>
        </w:rPr>
        <w:t xml:space="preserve">of 124 respondents from the same Internet survey who stated </w:t>
      </w:r>
      <w:r>
        <w:rPr>
          <w:rFonts w:asciiTheme="majorBidi" w:hAnsiTheme="majorBidi" w:cstheme="majorBidi"/>
        </w:rPr>
        <w:t xml:space="preserve">that </w:t>
      </w:r>
      <w:r w:rsidRPr="00FC05DE">
        <w:rPr>
          <w:rFonts w:asciiTheme="majorBidi" w:hAnsiTheme="majorBidi" w:cstheme="majorBidi"/>
        </w:rPr>
        <w:t xml:space="preserve">they were aware of the </w:t>
      </w:r>
      <w:r>
        <w:rPr>
          <w:rFonts w:asciiTheme="majorBidi" w:hAnsiTheme="majorBidi" w:cstheme="majorBidi"/>
        </w:rPr>
        <w:t>“</w:t>
      </w:r>
      <w:r w:rsidRPr="00FC05DE">
        <w:rPr>
          <w:rFonts w:asciiTheme="majorBidi" w:hAnsiTheme="majorBidi" w:cstheme="majorBidi"/>
        </w:rPr>
        <w:t>Money Mountain</w:t>
      </w:r>
      <w:r>
        <w:rPr>
          <w:rFonts w:asciiTheme="majorBidi" w:hAnsiTheme="majorBidi" w:cstheme="majorBidi"/>
        </w:rPr>
        <w:t>”</w:t>
      </w:r>
      <w:r w:rsidRPr="00FC05DE">
        <w:rPr>
          <w:rFonts w:asciiTheme="majorBidi" w:hAnsiTheme="majorBidi" w:cstheme="majorBidi"/>
        </w:rPr>
        <w:t xml:space="preserve"> campaign. </w:t>
      </w:r>
      <w:r>
        <w:rPr>
          <w:rFonts w:asciiTheme="majorBidi" w:hAnsiTheme="majorBidi" w:cstheme="majorBidi"/>
        </w:rPr>
        <w:t xml:space="preserve">We begin our research with an </w:t>
      </w:r>
      <w:r w:rsidRPr="00FC05DE">
        <w:rPr>
          <w:rFonts w:asciiTheme="majorBidi" w:hAnsiTheme="majorBidi" w:cstheme="majorBidi"/>
        </w:rPr>
        <w:t xml:space="preserve">estimate </w:t>
      </w:r>
      <w:r>
        <w:rPr>
          <w:rFonts w:asciiTheme="majorBidi" w:hAnsiTheme="majorBidi" w:cstheme="majorBidi"/>
        </w:rPr>
        <w:t xml:space="preserve">of </w:t>
      </w:r>
      <w:r w:rsidRPr="00FC05DE">
        <w:rPr>
          <w:rFonts w:asciiTheme="majorBidi" w:hAnsiTheme="majorBidi" w:cstheme="majorBidi"/>
        </w:rPr>
        <w:t xml:space="preserve">the percentage of </w:t>
      </w:r>
      <w:r>
        <w:rPr>
          <w:rFonts w:asciiTheme="majorBidi" w:hAnsiTheme="majorBidi" w:cstheme="majorBidi"/>
        </w:rPr>
        <w:t xml:space="preserve">the inactive </w:t>
      </w:r>
      <w:r w:rsidRPr="00FC05DE">
        <w:rPr>
          <w:rFonts w:asciiTheme="majorBidi" w:hAnsiTheme="majorBidi" w:cstheme="majorBidi"/>
        </w:rPr>
        <w:t xml:space="preserve">accounts that were </w:t>
      </w:r>
      <w:r>
        <w:rPr>
          <w:rFonts w:asciiTheme="majorBidi" w:hAnsiTheme="majorBidi" w:cstheme="majorBidi"/>
        </w:rPr>
        <w:t>closed as a result of the campaigns</w:t>
      </w:r>
      <w:r w:rsidRPr="00FC05DE">
        <w:rPr>
          <w:rFonts w:asciiTheme="majorBidi" w:hAnsiTheme="majorBidi" w:cstheme="majorBidi"/>
        </w:rPr>
        <w:t xml:space="preserve">. </w:t>
      </w:r>
      <w:r>
        <w:rPr>
          <w:rFonts w:asciiTheme="majorBidi" w:hAnsiTheme="majorBidi" w:cstheme="majorBidi"/>
        </w:rPr>
        <w:t xml:space="preserve">Then, </w:t>
      </w:r>
      <w:r w:rsidRPr="00FC05DE">
        <w:rPr>
          <w:rFonts w:asciiTheme="majorBidi" w:hAnsiTheme="majorBidi" w:cstheme="majorBidi"/>
        </w:rPr>
        <w:t>using the provident fund data and the survey, we try to find how</w:t>
      </w:r>
      <w:r>
        <w:rPr>
          <w:rFonts w:asciiTheme="majorBidi" w:hAnsiTheme="majorBidi" w:cstheme="majorBidi"/>
        </w:rPr>
        <w:t xml:space="preserve"> and when objective </w:t>
      </w:r>
      <w:r w:rsidRPr="00FC05DE">
        <w:rPr>
          <w:rFonts w:asciiTheme="majorBidi" w:hAnsiTheme="majorBidi" w:cstheme="majorBidi"/>
        </w:rPr>
        <w:t>financial literacy</w:t>
      </w:r>
      <w:r>
        <w:rPr>
          <w:rFonts w:asciiTheme="majorBidi" w:hAnsiTheme="majorBidi" w:cstheme="majorBidi"/>
        </w:rPr>
        <w:t>, subjective financial literacy,</w:t>
      </w:r>
      <w:r w:rsidRPr="003B1389">
        <w:rPr>
          <w:rFonts w:asciiTheme="majorBidi" w:hAnsiTheme="majorBidi" w:cstheme="majorBidi"/>
        </w:rPr>
        <w:t xml:space="preserve"> </w:t>
      </w:r>
      <w:r w:rsidRPr="00FC05DE">
        <w:rPr>
          <w:rFonts w:asciiTheme="majorBidi" w:hAnsiTheme="majorBidi" w:cstheme="majorBidi"/>
        </w:rPr>
        <w:t>geography, age</w:t>
      </w:r>
      <w:r>
        <w:rPr>
          <w:rFonts w:asciiTheme="majorBidi" w:hAnsiTheme="majorBidi" w:cstheme="majorBidi"/>
        </w:rPr>
        <w:t>,</w:t>
      </w:r>
      <w:r w:rsidRPr="00FC05DE">
        <w:rPr>
          <w:rFonts w:asciiTheme="majorBidi" w:hAnsiTheme="majorBidi" w:cstheme="majorBidi"/>
        </w:rPr>
        <w:t xml:space="preserve"> and other sociodemographic characteristics of individuals affect</w:t>
      </w:r>
      <w:r>
        <w:rPr>
          <w:rFonts w:asciiTheme="majorBidi" w:hAnsiTheme="majorBidi" w:cstheme="majorBidi"/>
        </w:rPr>
        <w:t>ed</w:t>
      </w:r>
      <w:r w:rsidRPr="00FC05DE">
        <w:rPr>
          <w:rFonts w:asciiTheme="majorBidi" w:hAnsiTheme="majorBidi" w:cstheme="majorBidi"/>
        </w:rPr>
        <w:t xml:space="preserve"> the awareness and action</w:t>
      </w:r>
      <w:r>
        <w:rPr>
          <w:rFonts w:asciiTheme="majorBidi" w:hAnsiTheme="majorBidi" w:cstheme="majorBidi"/>
        </w:rPr>
        <w:t>s of</w:t>
      </w:r>
      <w:r w:rsidRPr="00FC05DE">
        <w:rPr>
          <w:rFonts w:asciiTheme="majorBidi" w:hAnsiTheme="majorBidi" w:cstheme="majorBidi"/>
        </w:rPr>
        <w:t xml:space="preserve"> </w:t>
      </w:r>
      <w:r>
        <w:rPr>
          <w:rFonts w:asciiTheme="majorBidi" w:hAnsiTheme="majorBidi" w:cstheme="majorBidi"/>
        </w:rPr>
        <w:t xml:space="preserve">people </w:t>
      </w:r>
      <w:r w:rsidRPr="00FC05DE">
        <w:rPr>
          <w:rFonts w:asciiTheme="majorBidi" w:hAnsiTheme="majorBidi" w:cstheme="majorBidi"/>
        </w:rPr>
        <w:t xml:space="preserve">following the financial campaigns. </w:t>
      </w:r>
      <w:r>
        <w:rPr>
          <w:rFonts w:asciiTheme="majorBidi" w:hAnsiTheme="majorBidi" w:cstheme="majorBidi"/>
        </w:rPr>
        <w:t>As a</w:t>
      </w:r>
      <w:r w:rsidRPr="00FC05DE">
        <w:rPr>
          <w:rFonts w:asciiTheme="majorBidi" w:hAnsiTheme="majorBidi" w:cstheme="majorBidi"/>
        </w:rPr>
        <w:t>dministrative data from provident funds and survey data each have their own shortcomings</w:t>
      </w:r>
      <w:r>
        <w:rPr>
          <w:rFonts w:asciiTheme="majorBidi" w:hAnsiTheme="majorBidi" w:cstheme="majorBidi"/>
        </w:rPr>
        <w:t xml:space="preserve">, we believe that </w:t>
      </w:r>
      <w:r w:rsidRPr="00FC05DE">
        <w:rPr>
          <w:rFonts w:asciiTheme="majorBidi" w:hAnsiTheme="majorBidi" w:cstheme="majorBidi"/>
        </w:rPr>
        <w:t xml:space="preserve">by using both data sources we </w:t>
      </w:r>
      <w:r>
        <w:rPr>
          <w:rFonts w:asciiTheme="majorBidi" w:hAnsiTheme="majorBidi" w:cstheme="majorBidi"/>
        </w:rPr>
        <w:t>achieve</w:t>
      </w:r>
      <w:r w:rsidRPr="00FC05DE">
        <w:rPr>
          <w:rFonts w:asciiTheme="majorBidi" w:hAnsiTheme="majorBidi" w:cstheme="majorBidi"/>
        </w:rPr>
        <w:t xml:space="preserve"> a richer </w:t>
      </w:r>
      <w:r w:rsidRPr="001B0DCC">
        <w:rPr>
          <w:rFonts w:asciiTheme="majorBidi" w:hAnsiTheme="majorBidi" w:cstheme="majorBidi"/>
        </w:rPr>
        <w:t xml:space="preserve">evaluation </w:t>
      </w:r>
      <w:r w:rsidRPr="008C2849">
        <w:rPr>
          <w:rFonts w:asciiTheme="majorBidi" w:hAnsiTheme="majorBidi" w:cstheme="majorBidi"/>
        </w:rPr>
        <w:t xml:space="preserve">of the actual effect of the financial </w:t>
      </w:r>
      <w:r w:rsidRPr="008C2849">
        <w:rPr>
          <w:rFonts w:asciiTheme="majorBidi" w:hAnsiTheme="majorBidi" w:cstheme="majorBidi"/>
        </w:rPr>
        <w:lastRenderedPageBreak/>
        <w:t>regulation on the population.</w:t>
      </w:r>
      <w:r>
        <w:rPr>
          <w:rFonts w:asciiTheme="majorBidi" w:hAnsiTheme="majorBidi" w:cstheme="majorBidi"/>
        </w:rPr>
        <w:t xml:space="preserve"> Our</w:t>
      </w:r>
      <w:r w:rsidRPr="00EB43DE">
        <w:rPr>
          <w:rFonts w:asciiTheme="majorBidi" w:hAnsiTheme="majorBidi" w:cstheme="majorBidi"/>
        </w:rPr>
        <w:t xml:space="preserve"> proprietary data</w:t>
      </w:r>
      <w:r w:rsidRPr="001B0DCC">
        <w:rPr>
          <w:rFonts w:asciiTheme="majorBidi" w:hAnsiTheme="majorBidi" w:cstheme="majorBidi"/>
        </w:rPr>
        <w:t xml:space="preserve"> </w:t>
      </w:r>
      <w:r w:rsidRPr="00655345">
        <w:rPr>
          <w:rFonts w:asciiTheme="majorBidi" w:hAnsiTheme="majorBidi" w:cstheme="majorBidi"/>
        </w:rPr>
        <w:t>and survey data</w:t>
      </w:r>
      <w:r w:rsidRPr="001B0DCC">
        <w:rPr>
          <w:rFonts w:asciiTheme="majorBidi" w:hAnsiTheme="majorBidi" w:cstheme="majorBidi"/>
        </w:rPr>
        <w:t xml:space="preserve"> </w:t>
      </w:r>
      <w:r w:rsidRPr="008C2849">
        <w:rPr>
          <w:rFonts w:asciiTheme="majorBidi" w:hAnsiTheme="majorBidi" w:cstheme="majorBidi"/>
        </w:rPr>
        <w:t>indicate</w:t>
      </w:r>
      <w:r>
        <w:rPr>
          <w:rFonts w:asciiTheme="majorBidi" w:hAnsiTheme="majorBidi" w:cstheme="majorBidi"/>
        </w:rPr>
        <w:t xml:space="preserve"> </w:t>
      </w:r>
      <w:r w:rsidRPr="00FC05DE">
        <w:rPr>
          <w:rFonts w:asciiTheme="majorBidi" w:hAnsiTheme="majorBidi" w:cstheme="majorBidi"/>
        </w:rPr>
        <w:t xml:space="preserve">a low </w:t>
      </w:r>
      <w:r>
        <w:rPr>
          <w:rFonts w:asciiTheme="majorBidi" w:hAnsiTheme="majorBidi" w:cstheme="majorBidi"/>
        </w:rPr>
        <w:t>closing</w:t>
      </w:r>
      <w:r w:rsidRPr="00FC05DE">
        <w:rPr>
          <w:rFonts w:asciiTheme="majorBidi" w:hAnsiTheme="majorBidi" w:cstheme="majorBidi"/>
        </w:rPr>
        <w:t xml:space="preserve"> rate of </w:t>
      </w:r>
      <w:r>
        <w:rPr>
          <w:rFonts w:asciiTheme="majorBidi" w:hAnsiTheme="majorBidi" w:cstheme="majorBidi"/>
        </w:rPr>
        <w:t>16</w:t>
      </w:r>
      <w:r w:rsidRPr="00FC05DE">
        <w:rPr>
          <w:rFonts w:asciiTheme="majorBidi" w:hAnsiTheme="majorBidi" w:cstheme="majorBidi"/>
        </w:rPr>
        <w:t xml:space="preserve"> percent</w:t>
      </w:r>
      <w:r>
        <w:rPr>
          <w:rFonts w:asciiTheme="majorBidi" w:hAnsiTheme="majorBidi" w:cstheme="majorBidi"/>
        </w:rPr>
        <w:t xml:space="preserve"> of accounts, which </w:t>
      </w:r>
      <w:r w:rsidRPr="00FC05DE">
        <w:rPr>
          <w:rFonts w:asciiTheme="majorBidi" w:hAnsiTheme="majorBidi" w:cstheme="majorBidi"/>
        </w:rPr>
        <w:t xml:space="preserve">is consistent </w:t>
      </w:r>
      <w:r>
        <w:rPr>
          <w:rFonts w:asciiTheme="majorBidi" w:hAnsiTheme="majorBidi" w:cstheme="majorBidi"/>
        </w:rPr>
        <w:t xml:space="preserve">with </w:t>
      </w:r>
      <w:r w:rsidRPr="00FC05DE">
        <w:rPr>
          <w:rFonts w:asciiTheme="majorBidi" w:hAnsiTheme="majorBidi" w:cstheme="majorBidi"/>
        </w:rPr>
        <w:t xml:space="preserve">the </w:t>
      </w:r>
      <w:r>
        <w:rPr>
          <w:rFonts w:asciiTheme="majorBidi" w:hAnsiTheme="majorBidi" w:cstheme="majorBidi"/>
        </w:rPr>
        <w:t>information</w:t>
      </w:r>
      <w:r w:rsidRPr="00FC05DE">
        <w:rPr>
          <w:rFonts w:asciiTheme="majorBidi" w:hAnsiTheme="majorBidi" w:cstheme="majorBidi"/>
        </w:rPr>
        <w:t xml:space="preserve"> </w:t>
      </w:r>
      <w:r>
        <w:rPr>
          <w:rFonts w:asciiTheme="majorBidi" w:hAnsiTheme="majorBidi" w:cstheme="majorBidi"/>
        </w:rPr>
        <w:t>provided by</w:t>
      </w:r>
      <w:r w:rsidRPr="00FC05DE">
        <w:rPr>
          <w:rFonts w:asciiTheme="majorBidi" w:hAnsiTheme="majorBidi" w:cstheme="majorBidi"/>
        </w:rPr>
        <w:t xml:space="preserve"> the regulator</w:t>
      </w:r>
      <w:r>
        <w:rPr>
          <w:rFonts w:asciiTheme="majorBidi" w:hAnsiTheme="majorBidi" w:cstheme="majorBidi"/>
        </w:rPr>
        <w:t>, which in turn suggests</w:t>
      </w:r>
      <w:r w:rsidRPr="00FC05DE">
        <w:rPr>
          <w:rFonts w:asciiTheme="majorBidi" w:hAnsiTheme="majorBidi" w:cstheme="majorBidi"/>
        </w:rPr>
        <w:t xml:space="preserve"> that our samples are representative </w:t>
      </w:r>
      <w:r>
        <w:rPr>
          <w:rFonts w:asciiTheme="majorBidi" w:hAnsiTheme="majorBidi" w:cstheme="majorBidi"/>
        </w:rPr>
        <w:t xml:space="preserve">of </w:t>
      </w:r>
      <w:r w:rsidRPr="00FC05DE">
        <w:rPr>
          <w:rFonts w:asciiTheme="majorBidi" w:hAnsiTheme="majorBidi" w:cstheme="majorBidi"/>
        </w:rPr>
        <w:t>the total population</w:t>
      </w:r>
      <w:r w:rsidRPr="00D52BB6">
        <w:rPr>
          <w:rFonts w:asciiTheme="majorBidi" w:hAnsiTheme="majorBidi" w:cstheme="majorBidi"/>
        </w:rPr>
        <w:t xml:space="preserve"> </w:t>
      </w:r>
      <w:r w:rsidRPr="00FC05DE">
        <w:rPr>
          <w:rFonts w:asciiTheme="majorBidi" w:hAnsiTheme="majorBidi" w:cstheme="majorBidi"/>
        </w:rPr>
        <w:t>in this matter</w:t>
      </w:r>
      <w:r>
        <w:rPr>
          <w:rStyle w:val="a5"/>
          <w:rFonts w:asciiTheme="majorBidi" w:hAnsiTheme="majorBidi" w:cstheme="majorBidi"/>
        </w:rPr>
        <w:footnoteReference w:id="6"/>
      </w:r>
      <w:r w:rsidRPr="00FC05DE">
        <w:rPr>
          <w:rFonts w:asciiTheme="majorBidi" w:hAnsiTheme="majorBidi" w:cstheme="majorBidi"/>
        </w:rPr>
        <w:t xml:space="preserve">. </w:t>
      </w:r>
      <w:r>
        <w:rPr>
          <w:rFonts w:asciiTheme="majorBidi" w:hAnsiTheme="majorBidi" w:cstheme="majorBidi"/>
        </w:rPr>
        <w:t>I</w:t>
      </w:r>
      <w:r w:rsidRPr="00FC05DE">
        <w:rPr>
          <w:rFonts w:asciiTheme="majorBidi" w:hAnsiTheme="majorBidi" w:cstheme="majorBidi"/>
        </w:rPr>
        <w:t>n this paper</w:t>
      </w:r>
      <w:r>
        <w:rPr>
          <w:rFonts w:asciiTheme="majorBidi" w:hAnsiTheme="majorBidi" w:cstheme="majorBidi"/>
        </w:rPr>
        <w:t>, w</w:t>
      </w:r>
      <w:r w:rsidRPr="00FC05DE">
        <w:rPr>
          <w:rFonts w:asciiTheme="majorBidi" w:hAnsiTheme="majorBidi" w:cstheme="majorBidi"/>
        </w:rPr>
        <w:t xml:space="preserve">e </w:t>
      </w:r>
      <w:r>
        <w:rPr>
          <w:rFonts w:asciiTheme="majorBidi" w:hAnsiTheme="majorBidi" w:cstheme="majorBidi"/>
        </w:rPr>
        <w:t>provide</w:t>
      </w:r>
      <w:r w:rsidRPr="00FC05DE">
        <w:rPr>
          <w:rFonts w:asciiTheme="majorBidi" w:hAnsiTheme="majorBidi" w:cstheme="majorBidi"/>
        </w:rPr>
        <w:t xml:space="preserve"> evidence from both data sources that having </w:t>
      </w:r>
      <w:r>
        <w:rPr>
          <w:rFonts w:asciiTheme="majorBidi" w:hAnsiTheme="majorBidi" w:cstheme="majorBidi"/>
        </w:rPr>
        <w:t xml:space="preserve">a </w:t>
      </w:r>
      <w:r w:rsidRPr="00FC05DE">
        <w:rPr>
          <w:rFonts w:asciiTheme="majorBidi" w:hAnsiTheme="majorBidi" w:cstheme="majorBidi"/>
        </w:rPr>
        <w:t xml:space="preserve">higher socioeconomic </w:t>
      </w:r>
      <w:r>
        <w:rPr>
          <w:rFonts w:asciiTheme="majorBidi" w:hAnsiTheme="majorBidi" w:cstheme="majorBidi"/>
        </w:rPr>
        <w:t xml:space="preserve">index </w:t>
      </w:r>
      <w:r w:rsidRPr="00FC05DE">
        <w:rPr>
          <w:rFonts w:asciiTheme="majorBidi" w:hAnsiTheme="majorBidi" w:cstheme="majorBidi"/>
        </w:rPr>
        <w:t xml:space="preserve">is correlated with being aware of </w:t>
      </w:r>
      <w:r>
        <w:rPr>
          <w:rFonts w:asciiTheme="majorBidi" w:hAnsiTheme="majorBidi" w:cstheme="majorBidi"/>
        </w:rPr>
        <w:t xml:space="preserve">the </w:t>
      </w:r>
      <w:r w:rsidRPr="00FC05DE">
        <w:rPr>
          <w:rFonts w:asciiTheme="majorBidi" w:hAnsiTheme="majorBidi" w:cstheme="majorBidi"/>
        </w:rPr>
        <w:t>financial regulation and taking financial action. The proprietary data from the provident fund</w:t>
      </w:r>
      <w:r>
        <w:rPr>
          <w:rFonts w:asciiTheme="majorBidi" w:hAnsiTheme="majorBidi" w:cstheme="majorBidi"/>
        </w:rPr>
        <w:t xml:space="preserve"> provider</w:t>
      </w:r>
      <w:r w:rsidRPr="00FC05DE">
        <w:rPr>
          <w:rFonts w:asciiTheme="majorBidi" w:hAnsiTheme="majorBidi" w:cstheme="majorBidi"/>
        </w:rPr>
        <w:t xml:space="preserve"> show</w:t>
      </w:r>
      <w:r>
        <w:rPr>
          <w:rFonts w:asciiTheme="majorBidi" w:hAnsiTheme="majorBidi" w:cstheme="majorBidi"/>
        </w:rPr>
        <w:t xml:space="preserve"> </w:t>
      </w:r>
      <w:r w:rsidRPr="00FC05DE">
        <w:rPr>
          <w:rFonts w:asciiTheme="majorBidi" w:hAnsiTheme="majorBidi" w:cstheme="majorBidi"/>
        </w:rPr>
        <w:t xml:space="preserve">that individuals who </w:t>
      </w:r>
      <w:r>
        <w:rPr>
          <w:rFonts w:asciiTheme="majorBidi" w:hAnsiTheme="majorBidi" w:cstheme="majorBidi"/>
        </w:rPr>
        <w:t xml:space="preserve">closed small inactive accounts were older and </w:t>
      </w:r>
      <w:r w:rsidRPr="00FC05DE">
        <w:rPr>
          <w:rFonts w:asciiTheme="majorBidi" w:hAnsiTheme="majorBidi" w:cstheme="majorBidi"/>
        </w:rPr>
        <w:t>c</w:t>
      </w:r>
      <w:r>
        <w:rPr>
          <w:rFonts w:asciiTheme="majorBidi" w:hAnsiTheme="majorBidi" w:cstheme="majorBidi"/>
        </w:rPr>
        <w:t>a</w:t>
      </w:r>
      <w:r w:rsidRPr="00FC05DE">
        <w:rPr>
          <w:rFonts w:asciiTheme="majorBidi" w:hAnsiTheme="majorBidi" w:cstheme="majorBidi"/>
        </w:rPr>
        <w:t xml:space="preserve">me from localities with </w:t>
      </w:r>
      <w:r>
        <w:rPr>
          <w:rFonts w:asciiTheme="majorBidi" w:hAnsiTheme="majorBidi" w:cstheme="majorBidi"/>
        </w:rPr>
        <w:t xml:space="preserve">a </w:t>
      </w:r>
      <w:r w:rsidRPr="00FC05DE">
        <w:rPr>
          <w:rFonts w:asciiTheme="majorBidi" w:hAnsiTheme="majorBidi" w:cstheme="majorBidi"/>
        </w:rPr>
        <w:t xml:space="preserve">higher socioeconomic </w:t>
      </w:r>
      <w:r>
        <w:rPr>
          <w:rFonts w:asciiTheme="majorBidi" w:hAnsiTheme="majorBidi" w:cstheme="majorBidi"/>
        </w:rPr>
        <w:t xml:space="preserve">index </w:t>
      </w:r>
      <w:r w:rsidRPr="00FC05DE">
        <w:rPr>
          <w:rFonts w:asciiTheme="majorBidi" w:hAnsiTheme="majorBidi" w:cstheme="majorBidi"/>
        </w:rPr>
        <w:t xml:space="preserve">The survey data show evidence that people </w:t>
      </w:r>
      <w:r>
        <w:rPr>
          <w:rFonts w:asciiTheme="majorBidi" w:hAnsiTheme="majorBidi" w:cstheme="majorBidi"/>
        </w:rPr>
        <w:t>who lacked</w:t>
      </w:r>
      <w:r w:rsidRPr="00FC05DE">
        <w:rPr>
          <w:rFonts w:asciiTheme="majorBidi" w:hAnsiTheme="majorBidi" w:cstheme="majorBidi"/>
        </w:rPr>
        <w:t xml:space="preserve"> </w:t>
      </w:r>
      <w:r>
        <w:rPr>
          <w:rFonts w:asciiTheme="majorBidi" w:hAnsiTheme="majorBidi" w:cstheme="majorBidi"/>
        </w:rPr>
        <w:t xml:space="preserve">objective or subjective </w:t>
      </w:r>
      <w:r w:rsidRPr="00FC05DE">
        <w:rPr>
          <w:rFonts w:asciiTheme="majorBidi" w:hAnsiTheme="majorBidi" w:cstheme="majorBidi"/>
        </w:rPr>
        <w:t>financial literacy</w:t>
      </w:r>
      <w:r>
        <w:rPr>
          <w:rFonts w:asciiTheme="majorBidi" w:hAnsiTheme="majorBidi" w:cstheme="majorBidi"/>
        </w:rPr>
        <w:t>,</w:t>
      </w:r>
      <w:r w:rsidRPr="00FC05DE">
        <w:rPr>
          <w:rFonts w:asciiTheme="majorBidi" w:hAnsiTheme="majorBidi" w:cstheme="majorBidi"/>
        </w:rPr>
        <w:t xml:space="preserve"> </w:t>
      </w:r>
      <w:r>
        <w:rPr>
          <w:rFonts w:asciiTheme="majorBidi" w:hAnsiTheme="majorBidi" w:cstheme="majorBidi"/>
        </w:rPr>
        <w:t xml:space="preserve">as well as </w:t>
      </w:r>
      <w:r w:rsidRPr="00FC05DE">
        <w:rPr>
          <w:rFonts w:asciiTheme="majorBidi" w:hAnsiTheme="majorBidi" w:cstheme="majorBidi"/>
        </w:rPr>
        <w:t xml:space="preserve">younger </w:t>
      </w:r>
      <w:r>
        <w:rPr>
          <w:rFonts w:asciiTheme="majorBidi" w:hAnsiTheme="majorBidi" w:cstheme="majorBidi"/>
        </w:rPr>
        <w:t>people</w:t>
      </w:r>
      <w:r w:rsidRPr="00FC05DE">
        <w:rPr>
          <w:rFonts w:asciiTheme="majorBidi" w:hAnsiTheme="majorBidi" w:cstheme="majorBidi"/>
        </w:rPr>
        <w:t xml:space="preserve"> and women</w:t>
      </w:r>
      <w:r>
        <w:rPr>
          <w:rFonts w:asciiTheme="majorBidi" w:hAnsiTheme="majorBidi" w:cstheme="majorBidi"/>
        </w:rPr>
        <w:t>,</w:t>
      </w:r>
      <w:r w:rsidRPr="00FC05DE">
        <w:rPr>
          <w:rFonts w:asciiTheme="majorBidi" w:hAnsiTheme="majorBidi" w:cstheme="majorBidi"/>
        </w:rPr>
        <w:t xml:space="preserve"> </w:t>
      </w:r>
      <w:r>
        <w:rPr>
          <w:rFonts w:asciiTheme="majorBidi" w:hAnsiTheme="majorBidi" w:cstheme="majorBidi"/>
        </w:rPr>
        <w:t xml:space="preserve">also lacked awareness of the </w:t>
      </w:r>
      <w:r w:rsidRPr="00FC05DE">
        <w:rPr>
          <w:rFonts w:asciiTheme="majorBidi" w:hAnsiTheme="majorBidi" w:cstheme="majorBidi"/>
        </w:rPr>
        <w:t xml:space="preserve">regulatory campaigns and </w:t>
      </w:r>
      <w:r>
        <w:rPr>
          <w:rFonts w:asciiTheme="majorBidi" w:hAnsiTheme="majorBidi" w:cstheme="majorBidi"/>
        </w:rPr>
        <w:t xml:space="preserve">ability to take </w:t>
      </w:r>
      <w:r w:rsidRPr="00FC05DE">
        <w:rPr>
          <w:rFonts w:asciiTheme="majorBidi" w:hAnsiTheme="majorBidi" w:cstheme="majorBidi"/>
        </w:rPr>
        <w:t xml:space="preserve">financial action. As expected, </w:t>
      </w:r>
      <w:r>
        <w:rPr>
          <w:rFonts w:asciiTheme="majorBidi" w:hAnsiTheme="majorBidi" w:cstheme="majorBidi"/>
        </w:rPr>
        <w:t xml:space="preserve">objective and subjective </w:t>
      </w:r>
      <w:r w:rsidRPr="00FC05DE">
        <w:rPr>
          <w:rFonts w:asciiTheme="majorBidi" w:hAnsiTheme="majorBidi" w:cstheme="majorBidi"/>
        </w:rPr>
        <w:t xml:space="preserve">financial literacy </w:t>
      </w:r>
      <w:r>
        <w:rPr>
          <w:rFonts w:asciiTheme="majorBidi" w:hAnsiTheme="majorBidi" w:cstheme="majorBidi"/>
        </w:rPr>
        <w:t>are</w:t>
      </w:r>
      <w:r w:rsidRPr="00FC05DE">
        <w:rPr>
          <w:rFonts w:asciiTheme="majorBidi" w:hAnsiTheme="majorBidi" w:cstheme="majorBidi"/>
        </w:rPr>
        <w:t xml:space="preserve"> correlated with the socioeconomic locality index.</w:t>
      </w:r>
      <w:r>
        <w:rPr>
          <w:rFonts w:asciiTheme="majorBidi" w:hAnsiTheme="majorBidi" w:cstheme="majorBidi"/>
        </w:rPr>
        <w:t xml:space="preserve"> The survey data indicate that our measure of subjective financial literacy is a personality trait correlated with several financial actions. Hence, </w:t>
      </w:r>
      <w:proofErr w:type="spellStart"/>
      <w:r>
        <w:rPr>
          <w:rFonts w:asciiTheme="majorBidi" w:hAnsiTheme="majorBidi" w:cstheme="majorBidi"/>
        </w:rPr>
        <w:t>i</w:t>
      </w:r>
      <w:proofErr w:type="spellEnd"/>
      <w:r>
        <w:rPr>
          <w:rFonts w:asciiTheme="majorBidi" w:hAnsiTheme="majorBidi" w:cstheme="majorBidi"/>
          <w:lang w:val="en-GB"/>
        </w:rPr>
        <w:t xml:space="preserve">t is more plausible that the documented correlation is an indication that subjective financial literacy affected action. It is less plausible that we observe </w:t>
      </w:r>
      <w:r w:rsidRPr="002D26E3">
        <w:rPr>
          <w:rFonts w:asciiTheme="majorBidi" w:hAnsiTheme="majorBidi" w:cstheme="majorBidi"/>
        </w:rPr>
        <w:t>reverse</w:t>
      </w:r>
      <w:r>
        <w:rPr>
          <w:rFonts w:asciiTheme="majorBidi" w:hAnsiTheme="majorBidi" w:cstheme="majorBidi"/>
        </w:rPr>
        <w:t xml:space="preserve"> causality, where being aware</w:t>
      </w:r>
      <w:r w:rsidRPr="002D26E3">
        <w:rPr>
          <w:rFonts w:asciiTheme="majorBidi" w:hAnsiTheme="majorBidi" w:cstheme="majorBidi"/>
        </w:rPr>
        <w:t xml:space="preserve"> </w:t>
      </w:r>
      <w:r>
        <w:rPr>
          <w:rFonts w:asciiTheme="majorBidi" w:hAnsiTheme="majorBidi" w:cstheme="majorBidi"/>
        </w:rPr>
        <w:t xml:space="preserve">of </w:t>
      </w:r>
      <w:r w:rsidRPr="001F4C2E">
        <w:rPr>
          <w:rFonts w:asciiTheme="majorBidi" w:hAnsiTheme="majorBidi" w:cstheme="majorBidi"/>
        </w:rPr>
        <w:t>one</w:t>
      </w:r>
      <w:r>
        <w:rPr>
          <w:rFonts w:asciiTheme="majorBidi" w:hAnsiTheme="majorBidi" w:cstheme="majorBidi"/>
        </w:rPr>
        <w:t xml:space="preserve"> specific financial regulation</w:t>
      </w:r>
      <w:r w:rsidRPr="002D26E3">
        <w:rPr>
          <w:rFonts w:asciiTheme="majorBidi" w:hAnsiTheme="majorBidi" w:cstheme="majorBidi"/>
        </w:rPr>
        <w:t xml:space="preserve"> or taking</w:t>
      </w:r>
      <w:r>
        <w:rPr>
          <w:rFonts w:asciiTheme="majorBidi" w:hAnsiTheme="majorBidi" w:cstheme="majorBidi"/>
        </w:rPr>
        <w:t xml:space="preserve"> </w:t>
      </w:r>
      <w:r w:rsidRPr="001F4C2E">
        <w:rPr>
          <w:rFonts w:asciiTheme="majorBidi" w:hAnsiTheme="majorBidi" w:cstheme="majorBidi"/>
        </w:rPr>
        <w:t>one</w:t>
      </w:r>
      <w:r>
        <w:rPr>
          <w:rFonts w:asciiTheme="majorBidi" w:hAnsiTheme="majorBidi" w:cstheme="majorBidi"/>
        </w:rPr>
        <w:t xml:space="preserve"> </w:t>
      </w:r>
      <w:r w:rsidRPr="002D26E3">
        <w:rPr>
          <w:rFonts w:asciiTheme="majorBidi" w:hAnsiTheme="majorBidi" w:cstheme="majorBidi"/>
        </w:rPr>
        <w:t>financial action</w:t>
      </w:r>
      <w:r w:rsidRPr="001A085E">
        <w:rPr>
          <w:rFonts w:asciiTheme="majorBidi" w:hAnsiTheme="majorBidi" w:cstheme="majorBidi"/>
          <w:strike/>
        </w:rPr>
        <w:t xml:space="preserve"> </w:t>
      </w:r>
      <w:r w:rsidRPr="002D26E3">
        <w:rPr>
          <w:rFonts w:asciiTheme="majorBidi" w:hAnsiTheme="majorBidi" w:cstheme="majorBidi"/>
        </w:rPr>
        <w:t xml:space="preserve">affects </w:t>
      </w:r>
      <w:r>
        <w:rPr>
          <w:rFonts w:asciiTheme="majorBidi" w:hAnsiTheme="majorBidi" w:cstheme="majorBidi"/>
        </w:rPr>
        <w:t xml:space="preserve">the </w:t>
      </w:r>
      <w:r w:rsidRPr="002D26E3">
        <w:rPr>
          <w:rFonts w:asciiTheme="majorBidi" w:hAnsiTheme="majorBidi" w:cstheme="majorBidi"/>
        </w:rPr>
        <w:t xml:space="preserve">individuals’ </w:t>
      </w:r>
      <w:r>
        <w:rPr>
          <w:rFonts w:asciiTheme="majorBidi" w:hAnsiTheme="majorBidi" w:cstheme="majorBidi"/>
        </w:rPr>
        <w:t xml:space="preserve">subjective </w:t>
      </w:r>
      <w:r w:rsidRPr="002D26E3">
        <w:rPr>
          <w:rFonts w:asciiTheme="majorBidi" w:hAnsiTheme="majorBidi" w:cstheme="majorBidi"/>
        </w:rPr>
        <w:t>financial literacy</w:t>
      </w:r>
      <w:r>
        <w:rPr>
          <w:rFonts w:asciiTheme="majorBidi" w:hAnsiTheme="majorBidi" w:cstheme="majorBidi"/>
        </w:rPr>
        <w:t>.</w:t>
      </w:r>
      <w:r w:rsidRPr="00FC05DE">
        <w:rPr>
          <w:rFonts w:asciiTheme="majorBidi" w:hAnsiTheme="majorBidi" w:cstheme="majorBidi"/>
        </w:rPr>
        <w:t xml:space="preserve"> </w:t>
      </w:r>
      <w:r>
        <w:rPr>
          <w:rFonts w:asciiTheme="majorBidi" w:hAnsiTheme="majorBidi" w:cstheme="majorBidi"/>
        </w:rPr>
        <w:t xml:space="preserve">It is also unlikely to find reverse causality with objective financial literacy; Objective financial literacy involves knowledge you are unlikely to learn about from the Money Mountain. </w:t>
      </w:r>
      <w:r w:rsidRPr="00FC05DE">
        <w:rPr>
          <w:rFonts w:asciiTheme="majorBidi" w:hAnsiTheme="majorBidi" w:cstheme="majorBidi"/>
        </w:rPr>
        <w:t>When looking at financial action</w:t>
      </w:r>
      <w:r>
        <w:rPr>
          <w:rFonts w:asciiTheme="majorBidi" w:hAnsiTheme="majorBidi" w:cstheme="majorBidi"/>
        </w:rPr>
        <w:t>s</w:t>
      </w:r>
      <w:r w:rsidRPr="00FC05DE">
        <w:rPr>
          <w:rFonts w:asciiTheme="majorBidi" w:hAnsiTheme="majorBidi" w:cstheme="majorBidi"/>
        </w:rPr>
        <w:t xml:space="preserve"> taken by individuals, </w:t>
      </w:r>
      <w:r>
        <w:rPr>
          <w:rFonts w:asciiTheme="majorBidi" w:hAnsiTheme="majorBidi" w:cstheme="majorBidi"/>
        </w:rPr>
        <w:t xml:space="preserve">we find that one’s subjective </w:t>
      </w:r>
      <w:r w:rsidRPr="00FC05DE">
        <w:rPr>
          <w:rFonts w:asciiTheme="majorBidi" w:hAnsiTheme="majorBidi" w:cstheme="majorBidi"/>
        </w:rPr>
        <w:t>confidence in one</w:t>
      </w:r>
      <w:r>
        <w:rPr>
          <w:rFonts w:asciiTheme="majorBidi" w:hAnsiTheme="majorBidi" w:cstheme="majorBidi"/>
        </w:rPr>
        <w:t>’</w:t>
      </w:r>
      <w:r w:rsidRPr="00FC05DE">
        <w:rPr>
          <w:rFonts w:asciiTheme="majorBidi" w:hAnsiTheme="majorBidi" w:cstheme="majorBidi"/>
        </w:rPr>
        <w:t xml:space="preserve">s </w:t>
      </w:r>
      <w:r>
        <w:rPr>
          <w:rFonts w:asciiTheme="majorBidi" w:hAnsiTheme="majorBidi" w:cstheme="majorBidi"/>
        </w:rPr>
        <w:t xml:space="preserve">relevant </w:t>
      </w:r>
      <w:r w:rsidRPr="00FC05DE">
        <w:rPr>
          <w:rFonts w:asciiTheme="majorBidi" w:hAnsiTheme="majorBidi" w:cstheme="majorBidi"/>
        </w:rPr>
        <w:t>knowledge</w:t>
      </w:r>
      <w:r>
        <w:rPr>
          <w:rFonts w:asciiTheme="majorBidi" w:hAnsiTheme="majorBidi" w:cstheme="majorBidi"/>
        </w:rPr>
        <w:t>, here specifically retirement savings,</w:t>
      </w:r>
      <w:r w:rsidRPr="00FC05DE">
        <w:rPr>
          <w:rFonts w:asciiTheme="majorBidi" w:hAnsiTheme="majorBidi" w:cstheme="majorBidi"/>
        </w:rPr>
        <w:t xml:space="preserve"> </w:t>
      </w:r>
      <w:r>
        <w:rPr>
          <w:rFonts w:asciiTheme="majorBidi" w:hAnsiTheme="majorBidi" w:cstheme="majorBidi"/>
        </w:rPr>
        <w:t>is</w:t>
      </w:r>
      <w:r w:rsidRPr="00FC05DE">
        <w:rPr>
          <w:rFonts w:asciiTheme="majorBidi" w:hAnsiTheme="majorBidi" w:cstheme="majorBidi"/>
        </w:rPr>
        <w:t xml:space="preserve"> more important than one</w:t>
      </w:r>
      <w:r>
        <w:rPr>
          <w:rFonts w:asciiTheme="majorBidi" w:hAnsiTheme="majorBidi" w:cstheme="majorBidi"/>
        </w:rPr>
        <w:t>’</w:t>
      </w:r>
      <w:r w:rsidRPr="00FC05DE">
        <w:rPr>
          <w:rFonts w:asciiTheme="majorBidi" w:hAnsiTheme="majorBidi" w:cstheme="majorBidi"/>
        </w:rPr>
        <w:t>s objective knowledge</w:t>
      </w:r>
      <w:r>
        <w:rPr>
          <w:rFonts w:asciiTheme="majorBidi" w:hAnsiTheme="majorBidi" w:cstheme="majorBidi"/>
        </w:rPr>
        <w:t xml:space="preserve"> of general financial concepts</w:t>
      </w:r>
      <w:r w:rsidRPr="00FC05DE">
        <w:rPr>
          <w:rFonts w:asciiTheme="majorBidi" w:hAnsiTheme="majorBidi" w:cstheme="majorBidi"/>
        </w:rPr>
        <w:t xml:space="preserve">. </w:t>
      </w:r>
      <w:r>
        <w:rPr>
          <w:rFonts w:asciiTheme="majorBidi" w:hAnsiTheme="majorBidi" w:cstheme="majorBidi"/>
        </w:rPr>
        <w:t xml:space="preserve">Additionally, education </w:t>
      </w:r>
      <w:r>
        <w:rPr>
          <w:rFonts w:asciiTheme="majorBidi" w:hAnsiTheme="majorBidi" w:cstheme="majorBidi"/>
          <w:lang w:val="en-GB"/>
        </w:rPr>
        <w:t>has a positive and statistically significant</w:t>
      </w:r>
      <w:r>
        <w:rPr>
          <w:rFonts w:asciiTheme="majorBidi" w:hAnsiTheme="majorBidi" w:cstheme="majorBidi"/>
        </w:rPr>
        <w:t xml:space="preserve"> correlation with the decision of individuals to enter the website. </w:t>
      </w:r>
      <w:r w:rsidRPr="00FC05DE">
        <w:rPr>
          <w:rFonts w:asciiTheme="majorBidi" w:hAnsiTheme="majorBidi" w:cstheme="majorBidi"/>
        </w:rPr>
        <w:t xml:space="preserve">We also find that immigrants </w:t>
      </w:r>
      <w:r>
        <w:rPr>
          <w:rFonts w:asciiTheme="majorBidi" w:hAnsiTheme="majorBidi" w:cstheme="majorBidi"/>
        </w:rPr>
        <w:t>were</w:t>
      </w:r>
      <w:r w:rsidRPr="00FC05DE">
        <w:rPr>
          <w:rFonts w:asciiTheme="majorBidi" w:hAnsiTheme="majorBidi" w:cstheme="majorBidi"/>
        </w:rPr>
        <w:t xml:space="preserve"> less aware of financial campaigns </w:t>
      </w:r>
      <w:r>
        <w:rPr>
          <w:rFonts w:asciiTheme="majorBidi" w:hAnsiTheme="majorBidi" w:cstheme="majorBidi"/>
        </w:rPr>
        <w:t>that were publicized</w:t>
      </w:r>
      <w:r w:rsidRPr="00FC05DE">
        <w:rPr>
          <w:rFonts w:asciiTheme="majorBidi" w:hAnsiTheme="majorBidi" w:cstheme="majorBidi"/>
        </w:rPr>
        <w:t xml:space="preserve"> in mass media.</w:t>
      </w:r>
    </w:p>
    <w:p w:rsidR="00132BCF" w:rsidRDefault="00132BCF" w:rsidP="00132BCF">
      <w:pPr>
        <w:bidi w:val="0"/>
        <w:spacing w:after="100" w:afterAutospacing="1" w:line="360" w:lineRule="auto"/>
        <w:rPr>
          <w:rFonts w:asciiTheme="majorBidi" w:hAnsiTheme="majorBidi" w:cstheme="majorBidi"/>
          <w:sz w:val="24"/>
          <w:szCs w:val="24"/>
          <w:rtl/>
        </w:rPr>
      </w:pPr>
      <w:r>
        <w:rPr>
          <w:rFonts w:asciiTheme="majorBidi" w:hAnsiTheme="majorBidi" w:cstheme="majorBidi"/>
          <w:sz w:val="24"/>
          <w:szCs w:val="24"/>
        </w:rPr>
        <w:t>We conclude that the regulator had limited ability in communicating financial information to the public and</w:t>
      </w:r>
      <w:r w:rsidRPr="00FC05DE">
        <w:rPr>
          <w:rFonts w:asciiTheme="majorBidi" w:hAnsiTheme="majorBidi" w:cstheme="majorBidi"/>
          <w:sz w:val="24"/>
          <w:szCs w:val="24"/>
        </w:rPr>
        <w:t xml:space="preserve"> that less privileged populations were less likely to </w:t>
      </w:r>
      <w:r>
        <w:rPr>
          <w:rFonts w:asciiTheme="majorBidi" w:hAnsiTheme="majorBidi" w:cstheme="majorBidi"/>
          <w:sz w:val="24"/>
          <w:szCs w:val="24"/>
        </w:rPr>
        <w:t>be</w:t>
      </w:r>
      <w:r w:rsidRPr="00FC05DE">
        <w:rPr>
          <w:rFonts w:asciiTheme="majorBidi" w:hAnsiTheme="majorBidi" w:cstheme="majorBidi"/>
          <w:sz w:val="24"/>
          <w:szCs w:val="24"/>
        </w:rPr>
        <w:t xml:space="preserve"> aware of the campaign</w:t>
      </w:r>
      <w:r>
        <w:rPr>
          <w:rFonts w:asciiTheme="majorBidi" w:hAnsiTheme="majorBidi" w:cstheme="majorBidi"/>
          <w:sz w:val="24"/>
          <w:szCs w:val="24"/>
        </w:rPr>
        <w:t xml:space="preserve"> </w:t>
      </w:r>
      <w:r w:rsidRPr="00FC05DE">
        <w:rPr>
          <w:rFonts w:asciiTheme="majorBidi" w:hAnsiTheme="majorBidi" w:cstheme="majorBidi"/>
          <w:sz w:val="24"/>
          <w:szCs w:val="24"/>
        </w:rPr>
        <w:t>and less likely to take action based on the information</w:t>
      </w:r>
      <w:r>
        <w:rPr>
          <w:rFonts w:asciiTheme="majorBidi" w:hAnsiTheme="majorBidi" w:cstheme="majorBidi"/>
          <w:sz w:val="24"/>
          <w:szCs w:val="24"/>
        </w:rPr>
        <w:t xml:space="preserve">. This inherently leads to the question of whether other actions, beside media, can be more effective in promoting actions from less privileged populations. In order to test this </w:t>
      </w:r>
      <w:r>
        <w:rPr>
          <w:rFonts w:asciiTheme="majorBidi" w:hAnsiTheme="majorBidi" w:cstheme="majorBidi"/>
          <w:sz w:val="24"/>
          <w:szCs w:val="24"/>
        </w:rPr>
        <w:lastRenderedPageBreak/>
        <w:t>hypothesis, we conducted a field experiment. The field experiment investigated the effectiveness of different communication methods on the awareness and actions of one particular underprivileged population in our sample: ultra-Orthodox Jewish women with potentially low objective and subjective financial literacy. The women were recruited from a college as part of taking a class.  For our experiment, we used the launch of the “Money Mountain 2” campaign. Like the initial Money Mountain campaign, Money Mountain 2 was launched to help the population to find inactive accounts, except that it extended this service from the long-term retirement savings system to the banking system. The motivation for our experiment is related to the literature that documents that the presentation of relevant and detailed information to consumers can affect consumers’ objective financial literacy (</w:t>
      </w:r>
      <w:r w:rsidRPr="00A20B68">
        <w:rPr>
          <w:rFonts w:asciiTheme="majorBidi" w:hAnsiTheme="majorBidi" w:cstheme="majorBidi"/>
          <w:sz w:val="24"/>
          <w:szCs w:val="24"/>
        </w:rPr>
        <w:t>Drexler et al. 2014 and</w:t>
      </w:r>
      <w:r w:rsidRPr="00753A88">
        <w:rPr>
          <w:rFonts w:asciiTheme="majorBidi" w:hAnsiTheme="majorBidi" w:cstheme="majorBidi"/>
          <w:sz w:val="20"/>
          <w:szCs w:val="20"/>
        </w:rPr>
        <w:t xml:space="preserve"> </w:t>
      </w:r>
      <w:r>
        <w:rPr>
          <w:rFonts w:asciiTheme="majorBidi" w:hAnsiTheme="majorBidi" w:cstheme="majorBidi"/>
          <w:sz w:val="24"/>
          <w:szCs w:val="24"/>
        </w:rPr>
        <w:t>Lusardi et al. 2017) and</w:t>
      </w:r>
      <w:r w:rsidRPr="009C649D">
        <w:rPr>
          <w:rFonts w:asciiTheme="majorBidi" w:hAnsiTheme="majorBidi" w:cstheme="majorBidi"/>
          <w:sz w:val="24"/>
          <w:szCs w:val="24"/>
        </w:rPr>
        <w:t xml:space="preserve"> </w:t>
      </w:r>
      <w:r>
        <w:rPr>
          <w:rFonts w:asciiTheme="majorBidi" w:hAnsiTheme="majorBidi" w:cstheme="majorBidi"/>
          <w:sz w:val="24"/>
          <w:szCs w:val="24"/>
        </w:rPr>
        <w:t xml:space="preserve">actions (e.g., Clark et al. 2017; </w:t>
      </w:r>
      <w:proofErr w:type="spellStart"/>
      <w:r>
        <w:rPr>
          <w:rFonts w:asciiTheme="majorBidi" w:hAnsiTheme="majorBidi" w:cstheme="majorBidi"/>
          <w:sz w:val="24"/>
          <w:szCs w:val="24"/>
        </w:rPr>
        <w:t>Goda</w:t>
      </w:r>
      <w:proofErr w:type="spellEnd"/>
      <w:r>
        <w:rPr>
          <w:rFonts w:asciiTheme="majorBidi" w:hAnsiTheme="majorBidi" w:cstheme="majorBidi"/>
          <w:sz w:val="24"/>
          <w:szCs w:val="24"/>
        </w:rPr>
        <w:t xml:space="preserve"> et al. 2014). In the field experiment, the interventions we looked at included both digital and human touch interventions that could </w:t>
      </w:r>
      <w:r w:rsidRPr="00C91EFE">
        <w:rPr>
          <w:rFonts w:asciiTheme="majorBidi" w:hAnsiTheme="majorBidi" w:cstheme="majorBidi"/>
          <w:sz w:val="24"/>
          <w:szCs w:val="24"/>
        </w:rPr>
        <w:t xml:space="preserve">easily </w:t>
      </w:r>
      <w:r>
        <w:rPr>
          <w:rFonts w:asciiTheme="majorBidi" w:hAnsiTheme="majorBidi" w:cstheme="majorBidi"/>
          <w:sz w:val="24"/>
          <w:szCs w:val="24"/>
        </w:rPr>
        <w:t xml:space="preserve">be </w:t>
      </w:r>
      <w:r w:rsidRPr="00C91EFE">
        <w:rPr>
          <w:rFonts w:asciiTheme="majorBidi" w:hAnsiTheme="majorBidi" w:cstheme="majorBidi"/>
          <w:sz w:val="24"/>
          <w:szCs w:val="24"/>
        </w:rPr>
        <w:t xml:space="preserve">widely simulated </w:t>
      </w:r>
      <w:r>
        <w:rPr>
          <w:rFonts w:asciiTheme="majorBidi" w:hAnsiTheme="majorBidi" w:cstheme="majorBidi"/>
          <w:sz w:val="24"/>
          <w:szCs w:val="24"/>
        </w:rPr>
        <w:t>in future regulatory interventions. The interventions were: (1) no intervention at all (for the control group), (2) an e-mail explanation of the financial campaign, (3) an e-mail explanation together with a video explanation given by a professional actor, (4) a</w:t>
      </w:r>
      <w:r w:rsidRPr="000F102B">
        <w:rPr>
          <w:rFonts w:asciiTheme="majorBidi" w:hAnsiTheme="majorBidi" w:cstheme="majorBidi"/>
          <w:sz w:val="24"/>
          <w:szCs w:val="24"/>
        </w:rPr>
        <w:t xml:space="preserve"> </w:t>
      </w:r>
      <w:r>
        <w:rPr>
          <w:rFonts w:asciiTheme="majorBidi" w:hAnsiTheme="majorBidi" w:cstheme="majorBidi"/>
          <w:sz w:val="24"/>
          <w:szCs w:val="24"/>
        </w:rPr>
        <w:t xml:space="preserve">face-to-face </w:t>
      </w:r>
      <w:r w:rsidRPr="00A0280F">
        <w:rPr>
          <w:rFonts w:asciiTheme="majorBidi" w:hAnsiTheme="majorBidi" w:cstheme="majorBidi"/>
          <w:sz w:val="24"/>
          <w:szCs w:val="24"/>
        </w:rPr>
        <w:t>explanation</w:t>
      </w:r>
      <w:r>
        <w:rPr>
          <w:rFonts w:asciiTheme="majorBidi" w:hAnsiTheme="majorBidi" w:cstheme="majorBidi"/>
          <w:sz w:val="24"/>
          <w:szCs w:val="24"/>
        </w:rPr>
        <w:t xml:space="preserve"> </w:t>
      </w:r>
      <w:r w:rsidRPr="00A0280F">
        <w:rPr>
          <w:rFonts w:asciiTheme="majorBidi" w:hAnsiTheme="majorBidi" w:cstheme="majorBidi"/>
          <w:sz w:val="24"/>
          <w:szCs w:val="24"/>
        </w:rPr>
        <w:t xml:space="preserve"> of the </w:t>
      </w:r>
      <w:r>
        <w:rPr>
          <w:rFonts w:asciiTheme="majorBidi" w:hAnsiTheme="majorBidi" w:cstheme="majorBidi"/>
          <w:sz w:val="24"/>
          <w:szCs w:val="24"/>
        </w:rPr>
        <w:t>financial</w:t>
      </w:r>
      <w:r w:rsidRPr="00A0280F">
        <w:rPr>
          <w:rFonts w:asciiTheme="majorBidi" w:hAnsiTheme="majorBidi" w:cstheme="majorBidi"/>
          <w:sz w:val="24"/>
          <w:szCs w:val="24"/>
        </w:rPr>
        <w:t xml:space="preserve"> </w:t>
      </w:r>
      <w:r>
        <w:rPr>
          <w:rFonts w:asciiTheme="majorBidi" w:hAnsiTheme="majorBidi" w:cstheme="majorBidi"/>
          <w:sz w:val="24"/>
          <w:szCs w:val="24"/>
        </w:rPr>
        <w:t xml:space="preserve">regulation given </w:t>
      </w:r>
      <w:r w:rsidRPr="00A0280F">
        <w:rPr>
          <w:rFonts w:asciiTheme="majorBidi" w:hAnsiTheme="majorBidi" w:cstheme="majorBidi"/>
          <w:sz w:val="24"/>
          <w:szCs w:val="24"/>
        </w:rPr>
        <w:t xml:space="preserve">by </w:t>
      </w:r>
      <w:r>
        <w:rPr>
          <w:rFonts w:asciiTheme="majorBidi" w:hAnsiTheme="majorBidi" w:cstheme="majorBidi"/>
          <w:sz w:val="24"/>
          <w:szCs w:val="24"/>
        </w:rPr>
        <w:t xml:space="preserve">an </w:t>
      </w:r>
      <w:r w:rsidRPr="00A0280F">
        <w:rPr>
          <w:rFonts w:asciiTheme="majorBidi" w:hAnsiTheme="majorBidi" w:cstheme="majorBidi"/>
          <w:sz w:val="24"/>
          <w:szCs w:val="24"/>
        </w:rPr>
        <w:t>employee of the Bank of Israel</w:t>
      </w:r>
      <w:r>
        <w:rPr>
          <w:rFonts w:asciiTheme="majorBidi" w:hAnsiTheme="majorBidi" w:cstheme="majorBidi"/>
          <w:sz w:val="24"/>
          <w:szCs w:val="24"/>
        </w:rPr>
        <w:t xml:space="preserve"> (the organization in charge of banking regulation), and, finally, (5) an e-mail explanation given to one of the control groups after they had filled out a baseline survey. This last intervention enabled us to isolate the effect of detailed information provided in an e-mail on a group that had had an earlier encounter with a Bank of Israel </w:t>
      </w:r>
      <w:r w:rsidRPr="00A0280F">
        <w:rPr>
          <w:rFonts w:asciiTheme="majorBidi" w:hAnsiTheme="majorBidi" w:cstheme="majorBidi"/>
          <w:sz w:val="24"/>
          <w:szCs w:val="24"/>
        </w:rPr>
        <w:t xml:space="preserve">employee </w:t>
      </w:r>
      <w:r>
        <w:rPr>
          <w:rFonts w:asciiTheme="majorBidi" w:hAnsiTheme="majorBidi" w:cstheme="majorBidi"/>
          <w:sz w:val="24"/>
          <w:szCs w:val="24"/>
        </w:rPr>
        <w:t>(who handed out</w:t>
      </w:r>
      <w:r w:rsidRPr="000F102B">
        <w:rPr>
          <w:rFonts w:asciiTheme="majorBidi" w:hAnsiTheme="majorBidi" w:cstheme="majorBidi"/>
          <w:sz w:val="24"/>
          <w:szCs w:val="24"/>
        </w:rPr>
        <w:t xml:space="preserve"> </w:t>
      </w:r>
      <w:r>
        <w:rPr>
          <w:rFonts w:asciiTheme="majorBidi" w:hAnsiTheme="majorBidi" w:cstheme="majorBidi"/>
          <w:sz w:val="24"/>
          <w:szCs w:val="24"/>
        </w:rPr>
        <w:t>a baseline survey). We found that</w:t>
      </w:r>
      <w:r w:rsidRPr="00480919">
        <w:rPr>
          <w:rFonts w:asciiTheme="majorBidi" w:hAnsiTheme="majorBidi" w:cstheme="majorBidi"/>
          <w:sz w:val="24"/>
          <w:szCs w:val="24"/>
        </w:rPr>
        <w:t xml:space="preserve"> </w:t>
      </w:r>
      <w:r>
        <w:rPr>
          <w:rFonts w:asciiTheme="majorBidi" w:hAnsiTheme="majorBidi" w:cstheme="majorBidi"/>
          <w:sz w:val="24"/>
          <w:szCs w:val="24"/>
        </w:rPr>
        <w:t xml:space="preserve">the interventions that included a human touch (including in a digital context in the form of an e-mail with an accompanying video presentation) increased the awareness of the campaign of the intervention groups by more than 100% relative to the control group. These interventions were also more successful in raising the percentage of subjects entering the website (from 14% in the control group to between 16% and 28% in the treatment groups). </w:t>
      </w:r>
    </w:p>
    <w:p w:rsidR="00132BCF" w:rsidRDefault="00132BCF" w:rsidP="00132BCF">
      <w:pPr>
        <w:bidi w:val="0"/>
        <w:spacing w:after="100" w:afterAutospacing="1" w:line="360" w:lineRule="auto"/>
        <w:rPr>
          <w:rFonts w:asciiTheme="majorBidi" w:hAnsiTheme="majorBidi" w:cstheme="majorBidi"/>
          <w:sz w:val="24"/>
          <w:szCs w:val="24"/>
        </w:rPr>
      </w:pPr>
      <w:r>
        <w:rPr>
          <w:rFonts w:asciiTheme="majorBidi" w:hAnsiTheme="majorBidi" w:cstheme="majorBidi" w:hint="cs"/>
          <w:sz w:val="24"/>
          <w:szCs w:val="24"/>
        </w:rPr>
        <w:t>A</w:t>
      </w:r>
      <w:r>
        <w:rPr>
          <w:rFonts w:asciiTheme="majorBidi" w:hAnsiTheme="majorBidi" w:cstheme="majorBidi"/>
          <w:sz w:val="24"/>
          <w:szCs w:val="24"/>
        </w:rPr>
        <w:t>bove and beyond our contribution to the aging and long term savings academic literature, o</w:t>
      </w:r>
      <w:r w:rsidRPr="00FC05DE">
        <w:rPr>
          <w:rFonts w:asciiTheme="majorBidi" w:hAnsiTheme="majorBidi" w:cstheme="majorBidi"/>
          <w:sz w:val="24"/>
          <w:szCs w:val="24"/>
        </w:rPr>
        <w:t xml:space="preserve">ur work is related </w:t>
      </w:r>
      <w:r>
        <w:rPr>
          <w:rFonts w:asciiTheme="majorBidi" w:hAnsiTheme="majorBidi" w:cstheme="majorBidi"/>
          <w:sz w:val="24"/>
          <w:szCs w:val="24"/>
        </w:rPr>
        <w:t xml:space="preserve">and contributes </w:t>
      </w:r>
      <w:r w:rsidRPr="00FC05DE">
        <w:rPr>
          <w:rFonts w:asciiTheme="majorBidi" w:hAnsiTheme="majorBidi" w:cstheme="majorBidi"/>
          <w:sz w:val="24"/>
          <w:szCs w:val="24"/>
        </w:rPr>
        <w:t>to</w:t>
      </w:r>
      <w:r>
        <w:rPr>
          <w:rFonts w:asciiTheme="majorBidi" w:hAnsiTheme="majorBidi" w:cstheme="majorBidi"/>
          <w:sz w:val="24"/>
          <w:szCs w:val="24"/>
        </w:rPr>
        <w:t xml:space="preserve"> three main key areas. The first key area is literature </w:t>
      </w:r>
      <w:r w:rsidRPr="00FC05DE">
        <w:rPr>
          <w:rFonts w:asciiTheme="majorBidi" w:hAnsiTheme="majorBidi" w:cstheme="majorBidi"/>
          <w:sz w:val="24"/>
          <w:szCs w:val="24"/>
        </w:rPr>
        <w:t xml:space="preserve">documenting underprivileged populations that failed to receive benefits in designated programs such as the Earned Income Tax Credit and </w:t>
      </w:r>
      <w:r>
        <w:rPr>
          <w:rFonts w:asciiTheme="majorBidi" w:hAnsiTheme="majorBidi" w:cstheme="majorBidi"/>
          <w:sz w:val="24"/>
          <w:szCs w:val="24"/>
        </w:rPr>
        <w:t xml:space="preserve">the </w:t>
      </w:r>
      <w:r w:rsidRPr="00FC05DE">
        <w:rPr>
          <w:rFonts w:asciiTheme="majorBidi" w:hAnsiTheme="majorBidi" w:cstheme="majorBidi"/>
          <w:sz w:val="24"/>
          <w:szCs w:val="24"/>
        </w:rPr>
        <w:t xml:space="preserve">State </w:t>
      </w:r>
      <w:r w:rsidRPr="00FC05DE">
        <w:rPr>
          <w:rFonts w:asciiTheme="majorBidi" w:hAnsiTheme="majorBidi" w:cstheme="majorBidi"/>
          <w:sz w:val="24"/>
          <w:szCs w:val="24"/>
        </w:rPr>
        <w:lastRenderedPageBreak/>
        <w:t>Health Insurance Program</w:t>
      </w:r>
      <w:r>
        <w:rPr>
          <w:rFonts w:asciiTheme="majorBidi" w:hAnsiTheme="majorBidi" w:cstheme="majorBidi"/>
          <w:sz w:val="24"/>
          <w:szCs w:val="24"/>
        </w:rPr>
        <w:t>,</w:t>
      </w:r>
      <w:r w:rsidRPr="00FC05DE">
        <w:rPr>
          <w:rStyle w:val="a5"/>
          <w:rFonts w:asciiTheme="majorBidi" w:hAnsiTheme="majorBidi" w:cstheme="majorBidi"/>
          <w:sz w:val="24"/>
          <w:szCs w:val="24"/>
        </w:rPr>
        <w:footnoteReference w:id="7"/>
      </w:r>
      <w:r w:rsidRPr="00FC05DE">
        <w:rPr>
          <w:rFonts w:asciiTheme="majorBidi" w:hAnsiTheme="majorBidi" w:cstheme="majorBidi"/>
          <w:sz w:val="24"/>
          <w:szCs w:val="24"/>
        </w:rPr>
        <w:t xml:space="preserve"> and </w:t>
      </w:r>
      <w:r>
        <w:rPr>
          <w:rFonts w:asciiTheme="majorBidi" w:hAnsiTheme="majorBidi" w:cstheme="majorBidi"/>
          <w:sz w:val="24"/>
          <w:szCs w:val="24"/>
        </w:rPr>
        <w:t xml:space="preserve">indicates </w:t>
      </w:r>
      <w:r w:rsidRPr="00FC05DE">
        <w:rPr>
          <w:rFonts w:asciiTheme="majorBidi" w:hAnsiTheme="majorBidi" w:cstheme="majorBidi"/>
          <w:sz w:val="24"/>
          <w:szCs w:val="24"/>
        </w:rPr>
        <w:t xml:space="preserve">that </w:t>
      </w:r>
      <w:r>
        <w:rPr>
          <w:rFonts w:asciiTheme="majorBidi" w:hAnsiTheme="majorBidi" w:cstheme="majorBidi"/>
          <w:sz w:val="24"/>
          <w:szCs w:val="24"/>
        </w:rPr>
        <w:t>the</w:t>
      </w:r>
      <w:r w:rsidRPr="00FC05DE">
        <w:rPr>
          <w:rFonts w:asciiTheme="majorBidi" w:hAnsiTheme="majorBidi" w:cstheme="majorBidi"/>
          <w:sz w:val="24"/>
          <w:szCs w:val="24"/>
        </w:rPr>
        <w:t xml:space="preserve"> information channel is an important factor in explaining </w:t>
      </w:r>
      <w:r>
        <w:rPr>
          <w:rFonts w:asciiTheme="majorBidi" w:hAnsiTheme="majorBidi" w:cstheme="majorBidi"/>
          <w:sz w:val="24"/>
          <w:szCs w:val="24"/>
        </w:rPr>
        <w:t>take-up</w:t>
      </w:r>
      <w:r w:rsidRPr="00FC05DE">
        <w:rPr>
          <w:rFonts w:asciiTheme="majorBidi" w:hAnsiTheme="majorBidi" w:cstheme="majorBidi"/>
          <w:sz w:val="24"/>
          <w:szCs w:val="24"/>
        </w:rPr>
        <w:t>.</w:t>
      </w:r>
      <w:r w:rsidRPr="00FC05DE">
        <w:rPr>
          <w:rStyle w:val="a5"/>
          <w:rFonts w:asciiTheme="majorBidi" w:hAnsiTheme="majorBidi" w:cstheme="majorBidi"/>
          <w:sz w:val="24"/>
          <w:szCs w:val="24"/>
        </w:rPr>
        <w:footnoteReference w:id="8"/>
      </w:r>
      <w:r>
        <w:rPr>
          <w:rFonts w:asciiTheme="majorBidi" w:hAnsiTheme="majorBidi" w:cstheme="majorBidi"/>
          <w:sz w:val="24"/>
          <w:szCs w:val="24"/>
        </w:rPr>
        <w:t xml:space="preserve"> We contribute to this</w:t>
      </w:r>
      <w:r w:rsidRPr="00643B1C">
        <w:rPr>
          <w:rFonts w:asciiTheme="majorBidi" w:hAnsiTheme="majorBidi" w:cstheme="majorBidi"/>
          <w:sz w:val="24"/>
          <w:szCs w:val="24"/>
        </w:rPr>
        <w:t xml:space="preserve"> </w:t>
      </w:r>
      <w:r>
        <w:rPr>
          <w:rFonts w:asciiTheme="majorBidi" w:hAnsiTheme="majorBidi" w:cstheme="majorBidi"/>
          <w:sz w:val="24"/>
          <w:szCs w:val="24"/>
        </w:rPr>
        <w:t>literature in several ways: (1) by researching financial digital campaigns, (2</w:t>
      </w:r>
      <w:r w:rsidRPr="00AA719F" w:rsidDel="00536D45">
        <w:rPr>
          <w:rFonts w:asciiTheme="majorBidi" w:hAnsiTheme="majorBidi" w:cstheme="majorBidi"/>
          <w:sz w:val="24"/>
          <w:szCs w:val="24"/>
        </w:rPr>
        <w:t xml:space="preserve"> </w:t>
      </w:r>
      <w:r>
        <w:rPr>
          <w:rFonts w:asciiTheme="majorBidi" w:hAnsiTheme="majorBidi" w:cstheme="majorBidi"/>
          <w:sz w:val="24"/>
          <w:szCs w:val="24"/>
        </w:rPr>
        <w:t>t</w:t>
      </w:r>
      <w:r w:rsidRPr="00AA719F" w:rsidDel="00536D45">
        <w:rPr>
          <w:rFonts w:asciiTheme="majorBidi" w:hAnsiTheme="majorBidi" w:cstheme="majorBidi"/>
          <w:sz w:val="24"/>
          <w:szCs w:val="24"/>
        </w:rPr>
        <w:t>he absence of stigma for people who act upon the regulation and the relatively low transaction costs allow us to focus on the information effect on take-up</w:t>
      </w:r>
      <w:r>
        <w:rPr>
          <w:rFonts w:asciiTheme="majorBidi" w:hAnsiTheme="majorBidi" w:cstheme="majorBidi"/>
          <w:sz w:val="24"/>
          <w:szCs w:val="24"/>
          <w:lang w:val="en-GB"/>
        </w:rPr>
        <w:t>,</w:t>
      </w:r>
      <w:r w:rsidRPr="00AA719F" w:rsidDel="00536D45">
        <w:rPr>
          <w:rStyle w:val="a5"/>
          <w:rFonts w:asciiTheme="majorBidi" w:hAnsiTheme="majorBidi" w:cstheme="majorBidi"/>
          <w:sz w:val="24"/>
          <w:szCs w:val="24"/>
        </w:rPr>
        <w:footnoteReference w:id="9"/>
      </w:r>
      <w:r>
        <w:rPr>
          <w:rFonts w:asciiTheme="majorBidi" w:hAnsiTheme="majorBidi" w:cstheme="majorBidi"/>
          <w:sz w:val="24"/>
          <w:szCs w:val="24"/>
        </w:rPr>
        <w:t xml:space="preserve"> (3) o</w:t>
      </w:r>
      <w:r w:rsidRPr="00FC05DE">
        <w:rPr>
          <w:rFonts w:asciiTheme="majorBidi" w:hAnsiTheme="majorBidi" w:cstheme="majorBidi"/>
          <w:sz w:val="24"/>
          <w:szCs w:val="24"/>
        </w:rPr>
        <w:t>ur use of a</w:t>
      </w:r>
      <w:r>
        <w:rPr>
          <w:rFonts w:asciiTheme="majorBidi" w:hAnsiTheme="majorBidi" w:cstheme="majorBidi"/>
          <w:sz w:val="24"/>
          <w:szCs w:val="24"/>
        </w:rPr>
        <w:t>n Internet</w:t>
      </w:r>
      <w:r w:rsidRPr="00FC05DE">
        <w:rPr>
          <w:rFonts w:asciiTheme="majorBidi" w:hAnsiTheme="majorBidi" w:cstheme="majorBidi"/>
          <w:sz w:val="24"/>
          <w:szCs w:val="24"/>
        </w:rPr>
        <w:t xml:space="preserve"> survey in addition to provident fund data enables us to investigate individuals </w:t>
      </w:r>
      <w:r>
        <w:rPr>
          <w:rFonts w:asciiTheme="majorBidi" w:hAnsiTheme="majorBidi" w:cstheme="majorBidi"/>
          <w:sz w:val="24"/>
          <w:szCs w:val="24"/>
        </w:rPr>
        <w:t xml:space="preserve">who </w:t>
      </w:r>
      <w:r w:rsidRPr="00FC05DE">
        <w:rPr>
          <w:rFonts w:asciiTheme="majorBidi" w:hAnsiTheme="majorBidi" w:cstheme="majorBidi"/>
          <w:sz w:val="24"/>
          <w:szCs w:val="24"/>
        </w:rPr>
        <w:t xml:space="preserve">declared that they </w:t>
      </w:r>
      <w:r>
        <w:rPr>
          <w:rFonts w:asciiTheme="majorBidi" w:hAnsiTheme="majorBidi" w:cstheme="majorBidi"/>
          <w:sz w:val="24"/>
          <w:szCs w:val="24"/>
        </w:rPr>
        <w:t xml:space="preserve">had </w:t>
      </w:r>
      <w:r w:rsidRPr="00FC05DE">
        <w:rPr>
          <w:rFonts w:asciiTheme="majorBidi" w:hAnsiTheme="majorBidi" w:cstheme="majorBidi"/>
          <w:sz w:val="24"/>
          <w:szCs w:val="24"/>
        </w:rPr>
        <w:t xml:space="preserve">contacted the </w:t>
      </w:r>
      <w:r>
        <w:rPr>
          <w:rFonts w:asciiTheme="majorBidi" w:hAnsiTheme="majorBidi" w:cstheme="majorBidi"/>
          <w:sz w:val="24"/>
          <w:szCs w:val="24"/>
        </w:rPr>
        <w:t xml:space="preserve">long-term savings </w:t>
      </w:r>
      <w:r w:rsidRPr="00FC05DE">
        <w:rPr>
          <w:rFonts w:asciiTheme="majorBidi" w:hAnsiTheme="majorBidi" w:cstheme="majorBidi"/>
          <w:sz w:val="24"/>
          <w:szCs w:val="24"/>
        </w:rPr>
        <w:t>fund</w:t>
      </w:r>
      <w:r>
        <w:rPr>
          <w:rFonts w:asciiTheme="majorBidi" w:hAnsiTheme="majorBidi" w:cstheme="majorBidi"/>
          <w:sz w:val="24"/>
          <w:szCs w:val="24"/>
        </w:rPr>
        <w:t xml:space="preserve"> provider</w:t>
      </w:r>
      <w:r w:rsidRPr="00FC05DE">
        <w:rPr>
          <w:rFonts w:asciiTheme="majorBidi" w:hAnsiTheme="majorBidi" w:cstheme="majorBidi"/>
          <w:sz w:val="24"/>
          <w:szCs w:val="24"/>
        </w:rPr>
        <w:t xml:space="preserve"> </w:t>
      </w:r>
      <w:r>
        <w:rPr>
          <w:rFonts w:asciiTheme="majorBidi" w:hAnsiTheme="majorBidi" w:cstheme="majorBidi"/>
          <w:sz w:val="24"/>
          <w:szCs w:val="24"/>
        </w:rPr>
        <w:t>with the intention to close an account (withdraw or transfer savings)</w:t>
      </w:r>
      <w:r w:rsidRPr="00FC05DE">
        <w:rPr>
          <w:rFonts w:asciiTheme="majorBidi" w:hAnsiTheme="majorBidi" w:cstheme="majorBidi"/>
          <w:sz w:val="24"/>
          <w:szCs w:val="24"/>
        </w:rPr>
        <w:t xml:space="preserve">, </w:t>
      </w:r>
      <w:r>
        <w:rPr>
          <w:rFonts w:asciiTheme="majorBidi" w:hAnsiTheme="majorBidi" w:cstheme="majorBidi"/>
          <w:sz w:val="24"/>
          <w:szCs w:val="24"/>
        </w:rPr>
        <w:t>in addition to the</w:t>
      </w:r>
      <w:r w:rsidRPr="00FC05DE">
        <w:rPr>
          <w:rFonts w:asciiTheme="majorBidi" w:hAnsiTheme="majorBidi" w:cstheme="majorBidi"/>
          <w:sz w:val="24"/>
          <w:szCs w:val="24"/>
        </w:rPr>
        <w:t xml:space="preserve"> actual </w:t>
      </w:r>
      <w:r>
        <w:rPr>
          <w:rFonts w:asciiTheme="majorBidi" w:hAnsiTheme="majorBidi" w:cstheme="majorBidi"/>
          <w:sz w:val="24"/>
          <w:szCs w:val="24"/>
        </w:rPr>
        <w:t>accounts closed</w:t>
      </w:r>
      <w:r w:rsidRPr="00FC05DE">
        <w:rPr>
          <w:rFonts w:asciiTheme="majorBidi" w:hAnsiTheme="majorBidi" w:cstheme="majorBidi"/>
          <w:sz w:val="24"/>
          <w:szCs w:val="24"/>
        </w:rPr>
        <w:t>.</w:t>
      </w:r>
      <w:r w:rsidRPr="00536D45">
        <w:rPr>
          <w:rFonts w:asciiTheme="majorBidi" w:hAnsiTheme="majorBidi" w:cstheme="majorBidi"/>
          <w:sz w:val="24"/>
          <w:szCs w:val="24"/>
        </w:rPr>
        <w:t xml:space="preserve"> </w:t>
      </w:r>
      <w:r>
        <w:rPr>
          <w:rFonts w:asciiTheme="majorBidi" w:hAnsiTheme="majorBidi" w:cstheme="majorBidi"/>
          <w:sz w:val="24"/>
          <w:szCs w:val="24"/>
        </w:rPr>
        <w:t xml:space="preserve">This </w:t>
      </w:r>
      <w:r w:rsidRPr="00FC05DE">
        <w:rPr>
          <w:rFonts w:asciiTheme="majorBidi" w:hAnsiTheme="majorBidi" w:cstheme="majorBidi"/>
          <w:sz w:val="24"/>
          <w:szCs w:val="24"/>
        </w:rPr>
        <w:t xml:space="preserve">helps us </w:t>
      </w:r>
      <w:r>
        <w:rPr>
          <w:rFonts w:asciiTheme="majorBidi" w:hAnsiTheme="majorBidi" w:cstheme="majorBidi"/>
          <w:sz w:val="24"/>
          <w:szCs w:val="24"/>
        </w:rPr>
        <w:t xml:space="preserve">to further </w:t>
      </w:r>
      <w:r w:rsidRPr="00FC05DE">
        <w:rPr>
          <w:rFonts w:asciiTheme="majorBidi" w:hAnsiTheme="majorBidi" w:cstheme="majorBidi"/>
          <w:sz w:val="24"/>
          <w:szCs w:val="24"/>
        </w:rPr>
        <w:t xml:space="preserve">disentangle the information channel from transaction costs and </w:t>
      </w:r>
      <w:r>
        <w:rPr>
          <w:rFonts w:asciiTheme="majorBidi" w:hAnsiTheme="majorBidi" w:cstheme="majorBidi"/>
          <w:sz w:val="24"/>
          <w:szCs w:val="24"/>
        </w:rPr>
        <w:t xml:space="preserve">related </w:t>
      </w:r>
      <w:r w:rsidRPr="00FC05DE">
        <w:rPr>
          <w:rFonts w:asciiTheme="majorBidi" w:hAnsiTheme="majorBidi" w:cstheme="majorBidi"/>
          <w:sz w:val="24"/>
          <w:szCs w:val="24"/>
        </w:rPr>
        <w:t>technical difficulties</w:t>
      </w:r>
      <w:r>
        <w:rPr>
          <w:rFonts w:asciiTheme="majorBidi" w:hAnsiTheme="majorBidi" w:cstheme="majorBidi"/>
          <w:sz w:val="24"/>
          <w:szCs w:val="24"/>
        </w:rPr>
        <w:t xml:space="preserve">, (4) the survey data also allows us to connect financial literacy to take-up. </w:t>
      </w:r>
    </w:p>
    <w:p w:rsidR="00132BCF" w:rsidRDefault="00132BCF" w:rsidP="00132BCF">
      <w:pPr>
        <w:bidi w:val="0"/>
        <w:spacing w:after="100" w:afterAutospacing="1" w:line="360" w:lineRule="auto"/>
        <w:rPr>
          <w:rFonts w:asciiTheme="majorBidi" w:hAnsiTheme="majorBidi" w:cstheme="majorBidi"/>
          <w:sz w:val="24"/>
          <w:szCs w:val="24"/>
        </w:rPr>
      </w:pPr>
      <w:r>
        <w:rPr>
          <w:rFonts w:asciiTheme="majorBidi" w:hAnsiTheme="majorBidi" w:cstheme="majorBidi"/>
          <w:sz w:val="24"/>
          <w:szCs w:val="24"/>
        </w:rPr>
        <w:t xml:space="preserve">The second key area we contribute to is the investigation of financial literacy as we demonstrate that financial literacy has an effect on the success and equality of long-term savings regulation. Earlier </w:t>
      </w:r>
      <w:r w:rsidRPr="00FC05DE">
        <w:rPr>
          <w:rFonts w:asciiTheme="majorBidi" w:hAnsiTheme="majorBidi" w:cstheme="majorBidi"/>
          <w:sz w:val="24"/>
          <w:szCs w:val="24"/>
        </w:rPr>
        <w:t xml:space="preserve">literature documents that </w:t>
      </w:r>
      <w:r>
        <w:rPr>
          <w:rFonts w:asciiTheme="majorBidi" w:hAnsiTheme="majorBidi" w:cstheme="majorBidi"/>
          <w:sz w:val="24"/>
          <w:szCs w:val="24"/>
        </w:rPr>
        <w:t xml:space="preserve">objective </w:t>
      </w:r>
      <w:r w:rsidRPr="00FC05DE">
        <w:rPr>
          <w:rFonts w:asciiTheme="majorBidi" w:hAnsiTheme="majorBidi" w:cstheme="majorBidi"/>
          <w:sz w:val="24"/>
          <w:szCs w:val="24"/>
        </w:rPr>
        <w:t xml:space="preserve">financial </w:t>
      </w:r>
      <w:r w:rsidRPr="00BA0C87">
        <w:rPr>
          <w:rFonts w:asciiTheme="majorBidi" w:hAnsiTheme="majorBidi" w:cstheme="majorBidi"/>
          <w:sz w:val="24"/>
          <w:szCs w:val="24"/>
        </w:rPr>
        <w:t>literacy is correlated with financial behavior</w:t>
      </w:r>
      <w:r>
        <w:rPr>
          <w:rFonts w:asciiTheme="majorBidi" w:hAnsiTheme="majorBidi" w:cstheme="majorBidi"/>
          <w:sz w:val="24"/>
          <w:szCs w:val="24"/>
        </w:rPr>
        <w:t xml:space="preserve">, including </w:t>
      </w:r>
      <w:r w:rsidRPr="00FC05DE">
        <w:rPr>
          <w:rFonts w:asciiTheme="majorBidi" w:hAnsiTheme="majorBidi" w:cstheme="majorBidi"/>
          <w:sz w:val="24"/>
          <w:szCs w:val="24"/>
        </w:rPr>
        <w:t>planning and saving for retirement</w:t>
      </w:r>
      <w:r>
        <w:rPr>
          <w:rFonts w:asciiTheme="majorBidi" w:hAnsiTheme="majorBidi" w:cstheme="majorBidi"/>
          <w:sz w:val="24"/>
          <w:szCs w:val="24"/>
        </w:rPr>
        <w:t>,</w:t>
      </w:r>
      <w:r w:rsidRPr="00FC05DE">
        <w:rPr>
          <w:rStyle w:val="a5"/>
          <w:rFonts w:asciiTheme="majorBidi" w:hAnsiTheme="majorBidi" w:cstheme="majorBidi"/>
          <w:sz w:val="24"/>
          <w:szCs w:val="24"/>
        </w:rPr>
        <w:footnoteReference w:id="10"/>
      </w:r>
      <w:r w:rsidRPr="00FC05DE">
        <w:rPr>
          <w:rFonts w:asciiTheme="majorBidi" w:hAnsiTheme="majorBidi" w:cstheme="majorBidi"/>
          <w:sz w:val="24"/>
          <w:szCs w:val="24"/>
        </w:rPr>
        <w:t xml:space="preserve"> personal debt management</w:t>
      </w:r>
      <w:r>
        <w:rPr>
          <w:rFonts w:asciiTheme="majorBidi" w:hAnsiTheme="majorBidi" w:cstheme="majorBidi"/>
          <w:sz w:val="24"/>
          <w:szCs w:val="24"/>
        </w:rPr>
        <w:t>,</w:t>
      </w:r>
      <w:r w:rsidRPr="00FC05DE">
        <w:rPr>
          <w:rStyle w:val="a5"/>
          <w:rFonts w:asciiTheme="majorBidi" w:hAnsiTheme="majorBidi" w:cstheme="majorBidi"/>
          <w:sz w:val="24"/>
          <w:szCs w:val="24"/>
        </w:rPr>
        <w:footnoteReference w:id="11"/>
      </w:r>
      <w:r w:rsidRPr="00FC05DE">
        <w:rPr>
          <w:rFonts w:asciiTheme="majorBidi" w:hAnsiTheme="majorBidi" w:cstheme="majorBidi"/>
          <w:sz w:val="24"/>
          <w:szCs w:val="24"/>
        </w:rPr>
        <w:t xml:space="preserve"> participation in the stock market</w:t>
      </w:r>
      <w:r>
        <w:rPr>
          <w:rFonts w:asciiTheme="majorBidi" w:hAnsiTheme="majorBidi" w:cstheme="majorBidi"/>
          <w:sz w:val="24"/>
          <w:szCs w:val="24"/>
        </w:rPr>
        <w:t>,</w:t>
      </w:r>
      <w:r w:rsidRPr="00FC05DE">
        <w:rPr>
          <w:rStyle w:val="a5"/>
          <w:rFonts w:asciiTheme="majorBidi" w:hAnsiTheme="majorBidi" w:cstheme="majorBidi"/>
          <w:sz w:val="24"/>
          <w:szCs w:val="24"/>
        </w:rPr>
        <w:footnoteReference w:id="12"/>
      </w:r>
      <w:r w:rsidRPr="00FC05DE">
        <w:rPr>
          <w:rFonts w:asciiTheme="majorBidi" w:hAnsiTheme="majorBidi" w:cstheme="majorBidi"/>
          <w:sz w:val="24"/>
          <w:szCs w:val="24"/>
        </w:rPr>
        <w:t xml:space="preserve"> choosing mutual funds with lower fees</w:t>
      </w:r>
      <w:r>
        <w:rPr>
          <w:rFonts w:asciiTheme="majorBidi" w:hAnsiTheme="majorBidi" w:cstheme="majorBidi"/>
          <w:sz w:val="24"/>
          <w:szCs w:val="24"/>
        </w:rPr>
        <w:t>,</w:t>
      </w:r>
      <w:r w:rsidRPr="00FC05DE">
        <w:rPr>
          <w:rStyle w:val="a5"/>
          <w:rFonts w:asciiTheme="majorBidi" w:hAnsiTheme="majorBidi" w:cstheme="majorBidi"/>
          <w:sz w:val="24"/>
          <w:szCs w:val="24"/>
        </w:rPr>
        <w:footnoteReference w:id="13"/>
      </w:r>
      <w:r w:rsidRPr="00FC05DE">
        <w:rPr>
          <w:rFonts w:asciiTheme="majorBidi" w:hAnsiTheme="majorBidi" w:cstheme="majorBidi"/>
          <w:sz w:val="24"/>
          <w:szCs w:val="24"/>
        </w:rPr>
        <w:t xml:space="preserve"> and accumulation and management</w:t>
      </w:r>
      <w:r w:rsidRPr="0083276F">
        <w:rPr>
          <w:rFonts w:asciiTheme="majorBidi" w:hAnsiTheme="majorBidi" w:cstheme="majorBidi"/>
          <w:sz w:val="24"/>
          <w:szCs w:val="24"/>
        </w:rPr>
        <w:t xml:space="preserve"> </w:t>
      </w:r>
      <w:r>
        <w:rPr>
          <w:rFonts w:asciiTheme="majorBidi" w:hAnsiTheme="majorBidi" w:cstheme="majorBidi"/>
          <w:sz w:val="24"/>
          <w:szCs w:val="24"/>
        </w:rPr>
        <w:t xml:space="preserve">of </w:t>
      </w:r>
      <w:r w:rsidRPr="00FC05DE">
        <w:rPr>
          <w:rFonts w:asciiTheme="majorBidi" w:hAnsiTheme="majorBidi" w:cstheme="majorBidi"/>
          <w:sz w:val="24"/>
          <w:szCs w:val="24"/>
        </w:rPr>
        <w:t>wealth.</w:t>
      </w:r>
      <w:r w:rsidRPr="00FC05DE">
        <w:rPr>
          <w:rStyle w:val="a5"/>
          <w:rFonts w:asciiTheme="majorBidi" w:hAnsiTheme="majorBidi" w:cstheme="majorBidi"/>
          <w:sz w:val="24"/>
          <w:szCs w:val="24"/>
        </w:rPr>
        <w:footnoteReference w:id="14"/>
      </w:r>
      <w:r w:rsidRPr="00FC05DE">
        <w:rPr>
          <w:rFonts w:asciiTheme="majorBidi" w:hAnsiTheme="majorBidi" w:cstheme="majorBidi"/>
          <w:sz w:val="24"/>
          <w:szCs w:val="24"/>
        </w:rPr>
        <w:t xml:space="preserve"> </w:t>
      </w:r>
      <w:r>
        <w:rPr>
          <w:rFonts w:asciiTheme="majorBidi" w:hAnsiTheme="majorBidi" w:cstheme="majorBidi"/>
          <w:sz w:val="24"/>
          <w:szCs w:val="24"/>
        </w:rPr>
        <w:t>Objective f</w:t>
      </w:r>
      <w:r w:rsidRPr="00FC05DE">
        <w:rPr>
          <w:rFonts w:asciiTheme="majorBidi" w:hAnsiTheme="majorBidi" w:cstheme="majorBidi"/>
          <w:sz w:val="24"/>
          <w:szCs w:val="24"/>
        </w:rPr>
        <w:t xml:space="preserve">inancial literacy is </w:t>
      </w:r>
      <w:r>
        <w:rPr>
          <w:rFonts w:asciiTheme="majorBidi" w:hAnsiTheme="majorBidi" w:cstheme="majorBidi"/>
          <w:sz w:val="24"/>
          <w:szCs w:val="24"/>
        </w:rPr>
        <w:t>also associated</w:t>
      </w:r>
      <w:r w:rsidRPr="00037315">
        <w:rPr>
          <w:rFonts w:asciiTheme="majorBidi" w:hAnsiTheme="majorBidi" w:cstheme="majorBidi"/>
          <w:sz w:val="24"/>
          <w:szCs w:val="24"/>
        </w:rPr>
        <w:t xml:space="preserve"> with sociodemographic</w:t>
      </w:r>
      <w:r w:rsidRPr="00FC05DE">
        <w:rPr>
          <w:rFonts w:asciiTheme="majorBidi" w:hAnsiTheme="majorBidi" w:cstheme="majorBidi"/>
          <w:sz w:val="24"/>
          <w:szCs w:val="24"/>
        </w:rPr>
        <w:t xml:space="preserve"> characteristics</w:t>
      </w:r>
      <w:r w:rsidRPr="00FC05DE">
        <w:rPr>
          <w:rStyle w:val="a5"/>
          <w:rFonts w:asciiTheme="majorBidi" w:hAnsiTheme="majorBidi" w:cstheme="majorBidi"/>
          <w:sz w:val="24"/>
          <w:szCs w:val="24"/>
        </w:rPr>
        <w:footnoteReference w:id="15"/>
      </w:r>
      <w:r>
        <w:rPr>
          <w:rFonts w:asciiTheme="majorBidi" w:hAnsiTheme="majorBidi" w:cstheme="majorBidi"/>
          <w:sz w:val="24"/>
          <w:szCs w:val="24"/>
        </w:rPr>
        <w:t xml:space="preserve"> </w:t>
      </w:r>
      <w:r w:rsidRPr="00FC05DE">
        <w:rPr>
          <w:rFonts w:asciiTheme="majorBidi" w:hAnsiTheme="majorBidi" w:cstheme="majorBidi"/>
          <w:sz w:val="24"/>
          <w:szCs w:val="24"/>
        </w:rPr>
        <w:t>such as gender, education, wealth, race</w:t>
      </w:r>
      <w:r>
        <w:rPr>
          <w:rFonts w:asciiTheme="majorBidi" w:hAnsiTheme="majorBidi" w:cstheme="majorBidi"/>
          <w:sz w:val="24"/>
          <w:szCs w:val="24"/>
        </w:rPr>
        <w:t>,</w:t>
      </w:r>
      <w:r w:rsidRPr="00FC05DE">
        <w:rPr>
          <w:rFonts w:asciiTheme="majorBidi" w:hAnsiTheme="majorBidi" w:cstheme="majorBidi"/>
          <w:sz w:val="24"/>
          <w:szCs w:val="24"/>
        </w:rPr>
        <w:t xml:space="preserve"> ethnici</w:t>
      </w:r>
      <w:r>
        <w:rPr>
          <w:rFonts w:asciiTheme="majorBidi" w:hAnsiTheme="majorBidi" w:cstheme="majorBidi"/>
          <w:sz w:val="24"/>
          <w:szCs w:val="24"/>
        </w:rPr>
        <w:t>t</w:t>
      </w:r>
      <w:r w:rsidRPr="00FC05DE">
        <w:rPr>
          <w:rFonts w:asciiTheme="majorBidi" w:hAnsiTheme="majorBidi" w:cstheme="majorBidi"/>
          <w:sz w:val="24"/>
          <w:szCs w:val="24"/>
        </w:rPr>
        <w:t>y</w:t>
      </w:r>
      <w:r>
        <w:rPr>
          <w:rFonts w:asciiTheme="majorBidi" w:hAnsiTheme="majorBidi" w:cstheme="majorBidi"/>
          <w:sz w:val="24"/>
          <w:szCs w:val="24"/>
        </w:rPr>
        <w:t xml:space="preserve"> as well as having a </w:t>
      </w:r>
      <w:r w:rsidRPr="00FC05DE">
        <w:rPr>
          <w:rFonts w:asciiTheme="majorBidi" w:hAnsiTheme="majorBidi" w:cstheme="majorBidi"/>
          <w:sz w:val="24"/>
          <w:szCs w:val="24"/>
        </w:rPr>
        <w:t>generational effect</w:t>
      </w:r>
      <w:r w:rsidRPr="00FC05DE">
        <w:rPr>
          <w:rFonts w:asciiTheme="majorBidi" w:hAnsiTheme="majorBidi" w:cstheme="majorBidi"/>
          <w:sz w:val="24"/>
          <w:szCs w:val="24"/>
          <w:vertAlign w:val="superscript"/>
        </w:rPr>
        <w:footnoteReference w:id="16"/>
      </w:r>
      <w:r>
        <w:rPr>
          <w:rFonts w:asciiTheme="majorBidi" w:hAnsiTheme="majorBidi" w:cstheme="majorBidi"/>
          <w:sz w:val="24"/>
          <w:szCs w:val="24"/>
        </w:rPr>
        <w:t xml:space="preserve"> as </w:t>
      </w:r>
      <w:r w:rsidRPr="00FC05DE">
        <w:rPr>
          <w:rFonts w:asciiTheme="majorBidi" w:hAnsiTheme="majorBidi" w:cstheme="majorBidi"/>
          <w:sz w:val="24"/>
          <w:szCs w:val="24"/>
        </w:rPr>
        <w:t>it has been documented that parents</w:t>
      </w:r>
      <w:r>
        <w:rPr>
          <w:rFonts w:asciiTheme="majorBidi" w:hAnsiTheme="majorBidi" w:cstheme="majorBidi"/>
          <w:sz w:val="24"/>
          <w:szCs w:val="24"/>
        </w:rPr>
        <w:t>’</w:t>
      </w:r>
      <w:r w:rsidRPr="00FC05DE">
        <w:rPr>
          <w:rFonts w:asciiTheme="majorBidi" w:hAnsiTheme="majorBidi" w:cstheme="majorBidi"/>
          <w:sz w:val="24"/>
          <w:szCs w:val="24"/>
        </w:rPr>
        <w:t xml:space="preserve"> </w:t>
      </w:r>
      <w:r>
        <w:rPr>
          <w:rFonts w:asciiTheme="majorBidi" w:hAnsiTheme="majorBidi" w:cstheme="majorBidi"/>
          <w:sz w:val="24"/>
          <w:szCs w:val="24"/>
        </w:rPr>
        <w:t xml:space="preserve">objective </w:t>
      </w:r>
      <w:r w:rsidRPr="00FC05DE">
        <w:rPr>
          <w:rFonts w:asciiTheme="majorBidi" w:hAnsiTheme="majorBidi" w:cstheme="majorBidi"/>
          <w:sz w:val="24"/>
          <w:szCs w:val="24"/>
        </w:rPr>
        <w:t xml:space="preserve">financial literacy affects </w:t>
      </w:r>
      <w:r>
        <w:rPr>
          <w:rFonts w:asciiTheme="majorBidi" w:hAnsiTheme="majorBidi" w:cstheme="majorBidi"/>
          <w:sz w:val="24"/>
          <w:szCs w:val="24"/>
        </w:rPr>
        <w:t>a</w:t>
      </w:r>
      <w:r w:rsidRPr="00FC05DE">
        <w:rPr>
          <w:rFonts w:asciiTheme="majorBidi" w:hAnsiTheme="majorBidi" w:cstheme="majorBidi"/>
          <w:sz w:val="24"/>
          <w:szCs w:val="24"/>
        </w:rPr>
        <w:t xml:space="preserve"> child’s literacy </w:t>
      </w:r>
      <w:r w:rsidRPr="00FC05DE">
        <w:rPr>
          <w:rFonts w:asciiTheme="majorBidi" w:hAnsiTheme="majorBidi" w:cstheme="majorBidi"/>
          <w:sz w:val="24"/>
          <w:szCs w:val="24"/>
        </w:rPr>
        <w:lastRenderedPageBreak/>
        <w:t>and financial behavior.</w:t>
      </w:r>
      <w:r>
        <w:rPr>
          <w:rFonts w:asciiTheme="majorBidi" w:hAnsiTheme="majorBidi" w:cstheme="majorBidi"/>
          <w:sz w:val="24"/>
          <w:szCs w:val="24"/>
        </w:rPr>
        <w:t xml:space="preserve"> We also highlight the importance of subjective financial literacy—specifically, confidence in one's knowledge</w:t>
      </w:r>
      <w:r w:rsidRPr="00FC05DE">
        <w:rPr>
          <w:rFonts w:asciiTheme="majorBidi" w:hAnsiTheme="majorBidi" w:cstheme="majorBidi"/>
          <w:sz w:val="24"/>
          <w:szCs w:val="24"/>
        </w:rPr>
        <w:t xml:space="preserve"> </w:t>
      </w:r>
      <w:r>
        <w:rPr>
          <w:rFonts w:asciiTheme="majorBidi" w:hAnsiTheme="majorBidi" w:cstheme="majorBidi"/>
          <w:sz w:val="24"/>
          <w:szCs w:val="24"/>
        </w:rPr>
        <w:t xml:space="preserve">in the specific subject matter (here long-term savings), to </w:t>
      </w:r>
      <w:r w:rsidRPr="00FC05DE">
        <w:rPr>
          <w:rFonts w:asciiTheme="majorBidi" w:hAnsiTheme="majorBidi" w:cstheme="majorBidi"/>
          <w:sz w:val="24"/>
          <w:szCs w:val="24"/>
        </w:rPr>
        <w:t xml:space="preserve">the effectiveness of the </w:t>
      </w:r>
      <w:r>
        <w:rPr>
          <w:rFonts w:asciiTheme="majorBidi" w:hAnsiTheme="majorBidi" w:cstheme="majorBidi"/>
          <w:sz w:val="24"/>
          <w:szCs w:val="24"/>
        </w:rPr>
        <w:t xml:space="preserve">long-term savings </w:t>
      </w:r>
      <w:r w:rsidRPr="00FC05DE">
        <w:rPr>
          <w:rFonts w:asciiTheme="majorBidi" w:hAnsiTheme="majorBidi" w:cstheme="majorBidi"/>
          <w:sz w:val="24"/>
          <w:szCs w:val="24"/>
        </w:rPr>
        <w:t>regulation</w:t>
      </w:r>
      <w:r>
        <w:rPr>
          <w:rFonts w:asciiTheme="majorBidi" w:hAnsiTheme="majorBidi" w:cstheme="majorBidi"/>
          <w:sz w:val="24"/>
          <w:szCs w:val="24"/>
        </w:rPr>
        <w:t xml:space="preserve"> and financial behavior. Earlier research investigated general confidence in one’s financial literacy. </w:t>
      </w:r>
      <w:proofErr w:type="spellStart"/>
      <w:r w:rsidRPr="00FC05DE">
        <w:rPr>
          <w:rFonts w:asciiTheme="majorBidi" w:hAnsiTheme="majorBidi" w:cstheme="majorBidi"/>
          <w:sz w:val="24"/>
          <w:szCs w:val="24"/>
        </w:rPr>
        <w:t>Allgood</w:t>
      </w:r>
      <w:proofErr w:type="spellEnd"/>
      <w:r w:rsidRPr="00FC05DE">
        <w:rPr>
          <w:rFonts w:asciiTheme="majorBidi" w:hAnsiTheme="majorBidi" w:cstheme="majorBidi"/>
          <w:sz w:val="24"/>
          <w:szCs w:val="24"/>
        </w:rPr>
        <w:t xml:space="preserve"> and </w:t>
      </w:r>
      <w:proofErr w:type="spellStart"/>
      <w:r w:rsidRPr="00FC05DE">
        <w:rPr>
          <w:rFonts w:asciiTheme="majorBidi" w:hAnsiTheme="majorBidi" w:cstheme="majorBidi"/>
          <w:sz w:val="24"/>
          <w:szCs w:val="24"/>
        </w:rPr>
        <w:t>Walstad</w:t>
      </w:r>
      <w:proofErr w:type="spellEnd"/>
      <w:r w:rsidRPr="00FC05DE">
        <w:rPr>
          <w:rFonts w:asciiTheme="majorBidi" w:hAnsiTheme="majorBidi" w:cstheme="majorBidi"/>
          <w:sz w:val="24"/>
          <w:szCs w:val="24"/>
        </w:rPr>
        <w:t xml:space="preserve"> (2012) </w:t>
      </w:r>
      <w:r>
        <w:rPr>
          <w:rFonts w:asciiTheme="majorBidi" w:hAnsiTheme="majorBidi" w:cstheme="majorBidi"/>
          <w:sz w:val="24"/>
          <w:szCs w:val="24"/>
        </w:rPr>
        <w:t>have shown</w:t>
      </w:r>
      <w:r w:rsidRPr="00FC05DE">
        <w:rPr>
          <w:rFonts w:asciiTheme="majorBidi" w:hAnsiTheme="majorBidi" w:cstheme="majorBidi"/>
          <w:sz w:val="24"/>
          <w:szCs w:val="24"/>
        </w:rPr>
        <w:t xml:space="preserve"> that both </w:t>
      </w:r>
      <w:r>
        <w:rPr>
          <w:rFonts w:asciiTheme="majorBidi" w:hAnsiTheme="majorBidi" w:cstheme="majorBidi"/>
          <w:sz w:val="24"/>
          <w:szCs w:val="24"/>
        </w:rPr>
        <w:t xml:space="preserve">objective </w:t>
      </w:r>
      <w:r w:rsidRPr="00FC05DE">
        <w:rPr>
          <w:rFonts w:asciiTheme="majorBidi" w:hAnsiTheme="majorBidi" w:cstheme="majorBidi"/>
          <w:sz w:val="24"/>
          <w:szCs w:val="24"/>
        </w:rPr>
        <w:t xml:space="preserve">financial literacy and financial confidence are </w:t>
      </w:r>
      <w:r w:rsidRPr="00A55E63">
        <w:rPr>
          <w:rFonts w:asciiTheme="majorBidi" w:hAnsiTheme="majorBidi" w:cstheme="majorBidi"/>
          <w:sz w:val="24"/>
          <w:szCs w:val="24"/>
        </w:rPr>
        <w:t>important aspects</w:t>
      </w:r>
      <w:r>
        <w:rPr>
          <w:rFonts w:asciiTheme="majorBidi" w:hAnsiTheme="majorBidi" w:cstheme="majorBidi"/>
          <w:sz w:val="24"/>
          <w:szCs w:val="24"/>
        </w:rPr>
        <w:t xml:space="preserve"> for</w:t>
      </w:r>
      <w:r w:rsidRPr="00FC05DE">
        <w:rPr>
          <w:rFonts w:asciiTheme="majorBidi" w:hAnsiTheme="majorBidi" w:cstheme="majorBidi"/>
          <w:sz w:val="24"/>
          <w:szCs w:val="24"/>
        </w:rPr>
        <w:t xml:space="preserve"> financial behavior</w:t>
      </w:r>
      <w:r>
        <w:rPr>
          <w:rFonts w:asciiTheme="majorBidi" w:hAnsiTheme="majorBidi" w:cstheme="majorBidi"/>
          <w:sz w:val="24"/>
          <w:szCs w:val="24"/>
        </w:rPr>
        <w:t>:</w:t>
      </w:r>
      <w:r w:rsidRPr="00FC05DE">
        <w:rPr>
          <w:rStyle w:val="a5"/>
          <w:rFonts w:asciiTheme="majorBidi" w:hAnsiTheme="majorBidi" w:cstheme="majorBidi"/>
          <w:sz w:val="24"/>
          <w:szCs w:val="24"/>
        </w:rPr>
        <w:footnoteReference w:id="17"/>
      </w:r>
      <w:r w:rsidRPr="00FC05DE">
        <w:rPr>
          <w:rFonts w:asciiTheme="majorBidi" w:hAnsiTheme="majorBidi" w:cstheme="majorBidi"/>
          <w:sz w:val="24"/>
          <w:szCs w:val="24"/>
        </w:rPr>
        <w:t xml:space="preserve"> </w:t>
      </w:r>
      <w:r>
        <w:rPr>
          <w:rFonts w:asciiTheme="majorBidi" w:hAnsiTheme="majorBidi" w:cstheme="majorBidi"/>
          <w:sz w:val="24"/>
          <w:szCs w:val="24"/>
        </w:rPr>
        <w:t>in</w:t>
      </w:r>
      <w:r w:rsidRPr="00FC05DE">
        <w:rPr>
          <w:rFonts w:asciiTheme="majorBidi" w:hAnsiTheme="majorBidi" w:cstheme="majorBidi"/>
          <w:sz w:val="24"/>
          <w:szCs w:val="24"/>
        </w:rPr>
        <w:t xml:space="preserve">dividuals with high self-reported financial knowledge </w:t>
      </w:r>
      <w:r>
        <w:rPr>
          <w:rFonts w:asciiTheme="majorBidi" w:hAnsiTheme="majorBidi" w:cstheme="majorBidi"/>
          <w:sz w:val="24"/>
          <w:szCs w:val="24"/>
        </w:rPr>
        <w:t>are</w:t>
      </w:r>
      <w:r w:rsidRPr="00FC05DE">
        <w:rPr>
          <w:rFonts w:asciiTheme="majorBidi" w:hAnsiTheme="majorBidi" w:cstheme="majorBidi"/>
          <w:sz w:val="24"/>
          <w:szCs w:val="24"/>
        </w:rPr>
        <w:t xml:space="preserve"> </w:t>
      </w:r>
      <w:r>
        <w:rPr>
          <w:rFonts w:asciiTheme="majorBidi" w:hAnsiTheme="majorBidi" w:cstheme="majorBidi"/>
          <w:sz w:val="24"/>
          <w:szCs w:val="24"/>
        </w:rPr>
        <w:t>more likely</w:t>
      </w:r>
      <w:r w:rsidRPr="00FC05DE">
        <w:rPr>
          <w:rFonts w:asciiTheme="majorBidi" w:hAnsiTheme="majorBidi" w:cstheme="majorBidi"/>
          <w:sz w:val="24"/>
          <w:szCs w:val="24"/>
        </w:rPr>
        <w:t xml:space="preserve"> to</w:t>
      </w:r>
      <w:r>
        <w:rPr>
          <w:rFonts w:asciiTheme="majorBidi" w:hAnsiTheme="majorBidi" w:cstheme="majorBidi"/>
          <w:sz w:val="24"/>
          <w:szCs w:val="24"/>
        </w:rPr>
        <w:t xml:space="preserve"> plan their finances,</w:t>
      </w:r>
      <w:r w:rsidRPr="00FC05DE">
        <w:rPr>
          <w:rFonts w:asciiTheme="majorBidi" w:hAnsiTheme="majorBidi" w:cstheme="majorBidi"/>
          <w:sz w:val="24"/>
          <w:szCs w:val="24"/>
        </w:rPr>
        <w:t xml:space="preserve"> </w:t>
      </w:r>
      <w:r>
        <w:rPr>
          <w:rFonts w:asciiTheme="majorBidi" w:hAnsiTheme="majorBidi" w:cstheme="majorBidi"/>
          <w:sz w:val="24"/>
          <w:szCs w:val="24"/>
        </w:rPr>
        <w:t xml:space="preserve">to </w:t>
      </w:r>
      <w:r w:rsidRPr="00FC05DE">
        <w:rPr>
          <w:rFonts w:asciiTheme="majorBidi" w:hAnsiTheme="majorBidi" w:cstheme="majorBidi"/>
          <w:sz w:val="24"/>
          <w:szCs w:val="24"/>
        </w:rPr>
        <w:t xml:space="preserve">have substantially more retirement </w:t>
      </w:r>
      <w:r>
        <w:rPr>
          <w:rFonts w:asciiTheme="majorBidi" w:hAnsiTheme="majorBidi" w:cstheme="majorBidi"/>
          <w:sz w:val="24"/>
          <w:szCs w:val="24"/>
        </w:rPr>
        <w:t>savings,</w:t>
      </w:r>
      <w:r w:rsidRPr="00FC05DE">
        <w:rPr>
          <w:rFonts w:asciiTheme="majorBidi" w:hAnsiTheme="majorBidi" w:cstheme="majorBidi"/>
          <w:sz w:val="24"/>
          <w:szCs w:val="24"/>
        </w:rPr>
        <w:t xml:space="preserve"> and </w:t>
      </w:r>
      <w:r>
        <w:rPr>
          <w:rFonts w:asciiTheme="majorBidi" w:hAnsiTheme="majorBidi" w:cstheme="majorBidi"/>
          <w:sz w:val="24"/>
          <w:szCs w:val="24"/>
        </w:rPr>
        <w:t xml:space="preserve">to </w:t>
      </w:r>
      <w:r w:rsidRPr="00FC05DE">
        <w:rPr>
          <w:rFonts w:asciiTheme="majorBidi" w:hAnsiTheme="majorBidi" w:cstheme="majorBidi"/>
          <w:sz w:val="24"/>
          <w:szCs w:val="24"/>
        </w:rPr>
        <w:t xml:space="preserve">pay </w:t>
      </w:r>
      <w:r>
        <w:rPr>
          <w:rFonts w:asciiTheme="majorBidi" w:hAnsiTheme="majorBidi" w:cstheme="majorBidi"/>
          <w:sz w:val="24"/>
          <w:szCs w:val="24"/>
        </w:rPr>
        <w:t>fewer</w:t>
      </w:r>
      <w:r w:rsidRPr="00FC05DE">
        <w:rPr>
          <w:rFonts w:asciiTheme="majorBidi" w:hAnsiTheme="majorBidi" w:cstheme="majorBidi"/>
          <w:sz w:val="24"/>
          <w:szCs w:val="24"/>
        </w:rPr>
        <w:t xml:space="preserve"> management fees. Financial </w:t>
      </w:r>
      <w:r>
        <w:rPr>
          <w:rFonts w:asciiTheme="majorBidi" w:hAnsiTheme="majorBidi" w:cstheme="majorBidi"/>
          <w:sz w:val="24"/>
          <w:szCs w:val="24"/>
        </w:rPr>
        <w:t>confidence</w:t>
      </w:r>
      <w:r w:rsidRPr="00FC05DE">
        <w:rPr>
          <w:rFonts w:asciiTheme="majorBidi" w:hAnsiTheme="majorBidi" w:cstheme="majorBidi"/>
          <w:sz w:val="24"/>
          <w:szCs w:val="24"/>
        </w:rPr>
        <w:t xml:space="preserve"> is also </w:t>
      </w:r>
      <w:r>
        <w:rPr>
          <w:rFonts w:asciiTheme="majorBidi" w:hAnsiTheme="majorBidi" w:cstheme="majorBidi"/>
          <w:sz w:val="24"/>
          <w:szCs w:val="24"/>
        </w:rPr>
        <w:t>associated</w:t>
      </w:r>
      <w:r w:rsidRPr="00FC05DE">
        <w:rPr>
          <w:rFonts w:asciiTheme="majorBidi" w:hAnsiTheme="majorBidi" w:cstheme="majorBidi"/>
          <w:sz w:val="24"/>
          <w:szCs w:val="24"/>
        </w:rPr>
        <w:t xml:space="preserve"> with sociodemographic characteristics. It </w:t>
      </w:r>
      <w:r>
        <w:rPr>
          <w:rFonts w:asciiTheme="majorBidi" w:hAnsiTheme="majorBidi" w:cstheme="majorBidi"/>
          <w:sz w:val="24"/>
          <w:szCs w:val="24"/>
        </w:rPr>
        <w:t xml:space="preserve">has been </w:t>
      </w:r>
      <w:r w:rsidRPr="00FC05DE">
        <w:rPr>
          <w:rFonts w:asciiTheme="majorBidi" w:hAnsiTheme="majorBidi" w:cstheme="majorBidi"/>
          <w:sz w:val="24"/>
          <w:szCs w:val="24"/>
        </w:rPr>
        <w:t xml:space="preserve">documented that older, better educated, male respondents are more likely to </w:t>
      </w:r>
      <w:r>
        <w:rPr>
          <w:rFonts w:asciiTheme="majorBidi" w:hAnsiTheme="majorBidi" w:cstheme="majorBidi"/>
          <w:sz w:val="24"/>
          <w:szCs w:val="24"/>
        </w:rPr>
        <w:t>possess</w:t>
      </w:r>
      <w:r w:rsidRPr="00FC05DE">
        <w:rPr>
          <w:rFonts w:asciiTheme="majorBidi" w:hAnsiTheme="majorBidi" w:cstheme="majorBidi"/>
          <w:sz w:val="24"/>
          <w:szCs w:val="24"/>
        </w:rPr>
        <w:t xml:space="preserve"> </w:t>
      </w:r>
      <w:r w:rsidRPr="00037315">
        <w:rPr>
          <w:rFonts w:asciiTheme="majorBidi" w:hAnsiTheme="majorBidi" w:cstheme="majorBidi"/>
          <w:sz w:val="24"/>
          <w:szCs w:val="24"/>
        </w:rPr>
        <w:t>subjective financial literacy.</w:t>
      </w:r>
      <w:r w:rsidRPr="00037315">
        <w:rPr>
          <w:rStyle w:val="a5"/>
          <w:rFonts w:asciiTheme="majorBidi" w:hAnsiTheme="majorBidi" w:cstheme="majorBidi"/>
          <w:sz w:val="24"/>
          <w:szCs w:val="24"/>
        </w:rPr>
        <w:footnoteReference w:id="18"/>
      </w:r>
      <w:r w:rsidRPr="00FC05DE">
        <w:rPr>
          <w:rFonts w:asciiTheme="majorBidi" w:hAnsiTheme="majorBidi" w:cstheme="majorBidi"/>
          <w:sz w:val="24"/>
          <w:szCs w:val="24"/>
        </w:rPr>
        <w:t xml:space="preserve"> </w:t>
      </w:r>
    </w:p>
    <w:p w:rsidR="00132BCF" w:rsidRDefault="00132BCF" w:rsidP="00132BCF">
      <w:pPr>
        <w:bidi w:val="0"/>
        <w:spacing w:after="100" w:afterAutospacing="1" w:line="360" w:lineRule="auto"/>
        <w:rPr>
          <w:rFonts w:asciiTheme="majorBidi" w:hAnsiTheme="majorBidi" w:cstheme="majorBidi"/>
          <w:sz w:val="24"/>
          <w:szCs w:val="24"/>
        </w:rPr>
      </w:pPr>
      <w:r>
        <w:rPr>
          <w:rFonts w:asciiTheme="majorBidi" w:hAnsiTheme="majorBidi" w:cstheme="majorBidi"/>
          <w:sz w:val="24"/>
          <w:szCs w:val="24"/>
        </w:rPr>
        <w:t>In addition, the natural experiment described above allows us to focus on</w:t>
      </w:r>
      <w:r w:rsidRPr="00BD1628">
        <w:rPr>
          <w:rFonts w:asciiTheme="majorBidi" w:hAnsiTheme="majorBidi" w:cstheme="majorBidi"/>
          <w:sz w:val="24"/>
          <w:szCs w:val="24"/>
        </w:rPr>
        <w:t xml:space="preserve"> </w:t>
      </w:r>
      <w:r>
        <w:rPr>
          <w:rFonts w:asciiTheme="majorBidi" w:hAnsiTheme="majorBidi" w:cstheme="majorBidi"/>
          <w:sz w:val="24"/>
          <w:szCs w:val="24"/>
        </w:rPr>
        <w:t xml:space="preserve">the technological and digital aspects of financial regulation and financial literacy (objective and subjective). In particular, as there are no mediators or advisors when individuals use the website, financial literacy and other socioeconomic characteristics might play a bigger role. Goldfarb and Tucker (2017) review the effect and advantages of digital technology, </w:t>
      </w:r>
      <w:proofErr w:type="spellStart"/>
      <w:r>
        <w:rPr>
          <w:rFonts w:asciiTheme="majorBidi" w:hAnsiTheme="majorBidi" w:cstheme="majorBidi"/>
          <w:sz w:val="24"/>
          <w:szCs w:val="24"/>
        </w:rPr>
        <w:t>Karlan</w:t>
      </w:r>
      <w:proofErr w:type="spellEnd"/>
      <w:r>
        <w:rPr>
          <w:rFonts w:asciiTheme="majorBidi" w:hAnsiTheme="majorBidi" w:cstheme="majorBidi"/>
          <w:sz w:val="24"/>
          <w:szCs w:val="24"/>
        </w:rPr>
        <w:t xml:space="preserve"> et.al (2016) discuss the benefits and downsides of digital financial services for financial inclusion and Barber and </w:t>
      </w:r>
      <w:proofErr w:type="spellStart"/>
      <w:r>
        <w:rPr>
          <w:rFonts w:asciiTheme="majorBidi" w:hAnsiTheme="majorBidi" w:cstheme="majorBidi"/>
          <w:sz w:val="24"/>
          <w:szCs w:val="24"/>
        </w:rPr>
        <w:t>Odean</w:t>
      </w:r>
      <w:proofErr w:type="spellEnd"/>
      <w:r>
        <w:rPr>
          <w:rFonts w:asciiTheme="majorBidi" w:hAnsiTheme="majorBidi" w:cstheme="majorBidi"/>
          <w:sz w:val="24"/>
          <w:szCs w:val="24"/>
        </w:rPr>
        <w:t xml:space="preserve"> (2001) show the benefits of digital technology in finance for investors but also mention a "dark side" stemming from investors' behavioral biases. </w:t>
      </w:r>
    </w:p>
    <w:p w:rsidR="00132BCF" w:rsidRDefault="00132BCF" w:rsidP="00132BCF">
      <w:pPr>
        <w:bidi w:val="0"/>
        <w:spacing w:after="100" w:afterAutospacing="1" w:line="360" w:lineRule="auto"/>
        <w:rPr>
          <w:rFonts w:asciiTheme="majorBidi" w:hAnsiTheme="majorBidi" w:cstheme="majorBidi"/>
          <w:sz w:val="24"/>
          <w:szCs w:val="24"/>
        </w:rPr>
      </w:pPr>
      <w:r>
        <w:rPr>
          <w:rFonts w:asciiTheme="majorBidi" w:hAnsiTheme="majorBidi" w:cstheme="majorBidi"/>
          <w:sz w:val="24"/>
          <w:szCs w:val="24"/>
        </w:rPr>
        <w:t xml:space="preserve">Thirdly, our work is related to the key area that uses field experiments to research the effectiveness of different policies and theories. Levitt and List (2009) offer a review of field experiments, </w:t>
      </w:r>
      <w:proofErr w:type="spellStart"/>
      <w:r>
        <w:rPr>
          <w:rFonts w:asciiTheme="majorBidi" w:hAnsiTheme="majorBidi" w:cstheme="majorBidi"/>
          <w:sz w:val="24"/>
          <w:szCs w:val="24"/>
        </w:rPr>
        <w:t>Duflo</w:t>
      </w:r>
      <w:proofErr w:type="spellEnd"/>
      <w:r>
        <w:rPr>
          <w:rFonts w:asciiTheme="majorBidi" w:hAnsiTheme="majorBidi" w:cstheme="majorBidi"/>
          <w:sz w:val="24"/>
          <w:szCs w:val="24"/>
        </w:rPr>
        <w:t xml:space="preserve"> (2006) a review on field experiments evaluating policies in development economics. Choi et al (2017) and </w:t>
      </w:r>
      <w:proofErr w:type="spellStart"/>
      <w:r>
        <w:rPr>
          <w:rFonts w:asciiTheme="majorBidi" w:hAnsiTheme="majorBidi" w:cstheme="majorBidi"/>
          <w:sz w:val="24"/>
          <w:szCs w:val="24"/>
        </w:rPr>
        <w:t>Beshears</w:t>
      </w:r>
      <w:proofErr w:type="spellEnd"/>
      <w:r>
        <w:rPr>
          <w:rFonts w:asciiTheme="majorBidi" w:hAnsiTheme="majorBidi" w:cstheme="majorBidi"/>
          <w:sz w:val="24"/>
          <w:szCs w:val="24"/>
        </w:rPr>
        <w:t xml:space="preserve"> et al. (2015) are examples of field investigations </w:t>
      </w:r>
      <w:r w:rsidRPr="00D320E0">
        <w:rPr>
          <w:rFonts w:asciiTheme="majorBidi" w:hAnsiTheme="majorBidi" w:cstheme="majorBidi"/>
          <w:sz w:val="24"/>
          <w:szCs w:val="24"/>
        </w:rPr>
        <w:t>that aim to encourage retirement savings where the latter investigated behavioral interventions using emails</w:t>
      </w:r>
      <w:r>
        <w:rPr>
          <w:rFonts w:asciiTheme="majorBidi" w:hAnsiTheme="majorBidi" w:cstheme="majorBidi"/>
          <w:sz w:val="24"/>
          <w:szCs w:val="24"/>
        </w:rPr>
        <w:t>. We also contribute to literature on field experiments encouraging the public to gain personal long term savings information using websites (Bauer et al. (2018</w:t>
      </w:r>
      <w:r w:rsidRPr="00EB3621">
        <w:rPr>
          <w:rFonts w:asciiTheme="majorBidi" w:hAnsiTheme="majorBidi" w:cstheme="majorBidi"/>
          <w:sz w:val="24"/>
          <w:szCs w:val="24"/>
        </w:rPr>
        <w:t>))</w:t>
      </w:r>
      <w:r w:rsidRPr="00E25AE2">
        <w:rPr>
          <w:rFonts w:asciiTheme="majorBidi" w:hAnsiTheme="majorBidi" w:cstheme="majorBidi"/>
          <w:sz w:val="24"/>
          <w:szCs w:val="24"/>
        </w:rPr>
        <w:t>.</w:t>
      </w:r>
      <w:r w:rsidRPr="00EB3621">
        <w:rPr>
          <w:rStyle w:val="a5"/>
          <w:rFonts w:asciiTheme="majorBidi" w:hAnsiTheme="majorBidi" w:cstheme="majorBidi"/>
          <w:sz w:val="24"/>
          <w:szCs w:val="24"/>
        </w:rPr>
        <w:footnoteReference w:id="19"/>
      </w:r>
      <w:r>
        <w:rPr>
          <w:rFonts w:asciiTheme="majorBidi" w:hAnsiTheme="majorBidi" w:cstheme="majorBidi"/>
          <w:sz w:val="24"/>
          <w:szCs w:val="24"/>
          <w:lang w:val="en-GB"/>
        </w:rPr>
        <w:t xml:space="preserve">A meta-analysis by Keiser and </w:t>
      </w:r>
      <w:proofErr w:type="spellStart"/>
      <w:r>
        <w:rPr>
          <w:rFonts w:asciiTheme="majorBidi" w:hAnsiTheme="majorBidi" w:cstheme="majorBidi"/>
          <w:sz w:val="24"/>
          <w:szCs w:val="24"/>
          <w:lang w:val="en-GB"/>
        </w:rPr>
        <w:lastRenderedPageBreak/>
        <w:t>Menkhoff</w:t>
      </w:r>
      <w:proofErr w:type="spellEnd"/>
      <w:r>
        <w:rPr>
          <w:rFonts w:asciiTheme="majorBidi" w:hAnsiTheme="majorBidi" w:cstheme="majorBidi"/>
          <w:sz w:val="24"/>
          <w:szCs w:val="24"/>
          <w:lang w:val="en-GB"/>
        </w:rPr>
        <w:t xml:space="preserve"> (2017) shows that financial education interventions (including nudges) have a positive effect on financial literacy and behaviour but that the interventions are less effective for low socioeconomic population. </w:t>
      </w:r>
      <w:r w:rsidRPr="00E25AE2">
        <w:rPr>
          <w:rFonts w:asciiTheme="majorBidi" w:hAnsiTheme="majorBidi" w:cstheme="majorBidi"/>
          <w:sz w:val="24"/>
          <w:szCs w:val="24"/>
        </w:rPr>
        <w:t>We</w:t>
      </w:r>
      <w:r w:rsidRPr="00EB3621">
        <w:rPr>
          <w:rFonts w:asciiTheme="majorBidi" w:hAnsiTheme="majorBidi" w:cstheme="majorBidi"/>
          <w:sz w:val="24"/>
          <w:szCs w:val="24"/>
        </w:rPr>
        <w:t xml:space="preserve"> use</w:t>
      </w:r>
      <w:r>
        <w:rPr>
          <w:rFonts w:asciiTheme="majorBidi" w:hAnsiTheme="majorBidi" w:cstheme="majorBidi"/>
          <w:sz w:val="24"/>
          <w:szCs w:val="24"/>
        </w:rPr>
        <w:t xml:space="preserve"> a field experiment to evaluate different ways of providing financial information to the public and highlight the importance of a human touch for populations with low objective and subjective financial literacy.</w:t>
      </w:r>
      <w:bookmarkStart w:id="0" w:name="_GoBack"/>
      <w:bookmarkEnd w:id="0"/>
    </w:p>
    <w:sectPr w:rsidR="00132BCF" w:rsidSect="002A37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CF" w:rsidRDefault="00132BCF" w:rsidP="00132BCF">
      <w:pPr>
        <w:spacing w:after="0" w:line="240" w:lineRule="auto"/>
      </w:pPr>
      <w:r>
        <w:separator/>
      </w:r>
    </w:p>
  </w:endnote>
  <w:endnote w:type="continuationSeparator" w:id="0">
    <w:p w:rsidR="00132BCF" w:rsidRDefault="00132BCF" w:rsidP="0013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CF" w:rsidRDefault="00132BCF" w:rsidP="00132BCF">
      <w:pPr>
        <w:spacing w:after="0" w:line="240" w:lineRule="auto"/>
      </w:pPr>
      <w:r>
        <w:separator/>
      </w:r>
    </w:p>
  </w:footnote>
  <w:footnote w:type="continuationSeparator" w:id="0">
    <w:p w:rsidR="00132BCF" w:rsidRDefault="00132BCF" w:rsidP="00132BCF">
      <w:pPr>
        <w:spacing w:after="0" w:line="240" w:lineRule="auto"/>
      </w:pPr>
      <w:r>
        <w:continuationSeparator/>
      </w:r>
    </w:p>
  </w:footnote>
  <w:footnote w:id="1">
    <w:p w:rsidR="00132BCF" w:rsidRPr="00415059" w:rsidRDefault="00132BCF" w:rsidP="00132BCF">
      <w:pPr>
        <w:pStyle w:val="a3"/>
        <w:bidi w:val="0"/>
        <w:rPr>
          <w:rFonts w:asciiTheme="majorBidi" w:hAnsiTheme="majorBidi" w:cstheme="majorBidi"/>
        </w:rPr>
      </w:pPr>
      <w:r w:rsidRPr="005F044E">
        <w:rPr>
          <w:rFonts w:asciiTheme="majorBidi" w:hAnsiTheme="majorBidi" w:cstheme="majorBidi"/>
        </w:rPr>
        <w:t xml:space="preserve">† E-mail addresses: </w:t>
      </w:r>
      <w:hyperlink r:id="rId1" w:history="1">
        <w:r w:rsidRPr="006D4637">
          <w:rPr>
            <w:rStyle w:val="Hyperlink"/>
            <w:rFonts w:asciiTheme="majorBidi" w:hAnsiTheme="majorBidi" w:cstheme="majorBidi"/>
          </w:rPr>
          <w:t>maya.haran@mail.huji.ac.il</w:t>
        </w:r>
      </w:hyperlink>
      <w:r w:rsidRPr="005F044E">
        <w:rPr>
          <w:rFonts w:asciiTheme="majorBidi" w:hAnsiTheme="majorBidi" w:cstheme="majorBidi"/>
        </w:rPr>
        <w:t xml:space="preserve"> (M. Haran Rosen) and </w:t>
      </w:r>
      <w:hyperlink r:id="rId2" w:history="1">
        <w:r w:rsidRPr="006D4637">
          <w:rPr>
            <w:rStyle w:val="Hyperlink"/>
            <w:rFonts w:asciiTheme="majorBidi" w:hAnsiTheme="majorBidi" w:cstheme="majorBidi"/>
          </w:rPr>
          <w:t>orlysade@huji.ac.il</w:t>
        </w:r>
      </w:hyperlink>
      <w:r w:rsidRPr="005F044E">
        <w:rPr>
          <w:rFonts w:asciiTheme="majorBidi" w:hAnsiTheme="majorBidi" w:cstheme="majorBidi"/>
        </w:rPr>
        <w:t xml:space="preserve"> (O. Sade).</w:t>
      </w:r>
    </w:p>
    <w:p w:rsidR="00132BCF" w:rsidRPr="006D4637" w:rsidRDefault="00132BCF" w:rsidP="00132BCF">
      <w:pPr>
        <w:pStyle w:val="a6"/>
        <w:pBdr>
          <w:top w:val="single" w:sz="4" w:space="1" w:color="auto"/>
        </w:pBdr>
        <w:bidi w:val="0"/>
        <w:rPr>
          <w:rFonts w:asciiTheme="majorBidi" w:eastAsia="Times New Roman" w:hAnsiTheme="majorBidi"/>
          <w:color w:val="auto"/>
          <w:sz w:val="20"/>
          <w:szCs w:val="20"/>
          <w:rtl/>
        </w:rPr>
      </w:pPr>
    </w:p>
    <w:p w:rsidR="00132BCF" w:rsidRPr="006D4637" w:rsidRDefault="00132BCF" w:rsidP="00132BCF">
      <w:pPr>
        <w:pStyle w:val="a6"/>
        <w:pBdr>
          <w:top w:val="single" w:sz="4" w:space="1" w:color="auto"/>
        </w:pBdr>
        <w:bidi w:val="0"/>
        <w:rPr>
          <w:rFonts w:asciiTheme="majorBidi" w:hAnsiTheme="majorBidi"/>
          <w:color w:val="000000" w:themeColor="text1"/>
          <w:sz w:val="20"/>
          <w:szCs w:val="20"/>
        </w:rPr>
      </w:pPr>
      <w:r w:rsidRPr="006D4637">
        <w:rPr>
          <w:rFonts w:asciiTheme="majorBidi" w:hAnsiTheme="majorBidi"/>
          <w:color w:val="000000" w:themeColor="text1"/>
          <w:sz w:val="20"/>
          <w:szCs w:val="20"/>
        </w:rPr>
        <w:t xml:space="preserve">Financial support for this paper was given from the Cherrick Center </w:t>
      </w:r>
      <w:proofErr w:type="spellStart"/>
      <w:r w:rsidRPr="006D4637">
        <w:rPr>
          <w:rFonts w:asciiTheme="majorBidi" w:hAnsiTheme="majorBidi"/>
          <w:color w:val="000000" w:themeColor="text1"/>
          <w:sz w:val="20"/>
          <w:szCs w:val="20"/>
        </w:rPr>
        <w:t>Elisia</w:t>
      </w:r>
      <w:proofErr w:type="spellEnd"/>
      <w:r w:rsidRPr="006D4637">
        <w:rPr>
          <w:rFonts w:asciiTheme="majorBidi" w:hAnsiTheme="majorBidi"/>
          <w:color w:val="000000" w:themeColor="text1"/>
          <w:sz w:val="20"/>
          <w:szCs w:val="20"/>
        </w:rPr>
        <w:t xml:space="preserve"> Fund. We have benefited from comments by Noam </w:t>
      </w:r>
      <w:proofErr w:type="spellStart"/>
      <w:r w:rsidRPr="006D4637">
        <w:rPr>
          <w:rFonts w:asciiTheme="majorBidi" w:hAnsiTheme="majorBidi"/>
          <w:color w:val="000000" w:themeColor="text1"/>
          <w:sz w:val="20"/>
          <w:szCs w:val="20"/>
        </w:rPr>
        <w:t>Zussman</w:t>
      </w:r>
      <w:proofErr w:type="spellEnd"/>
      <w:r w:rsidRPr="006D4637">
        <w:rPr>
          <w:rFonts w:asciiTheme="majorBidi" w:hAnsiTheme="majorBidi"/>
          <w:color w:val="000000" w:themeColor="text1"/>
          <w:sz w:val="20"/>
          <w:szCs w:val="20"/>
        </w:rPr>
        <w:t xml:space="preserve">, Anne </w:t>
      </w:r>
      <w:proofErr w:type="spellStart"/>
      <w:r w:rsidRPr="006D4637">
        <w:rPr>
          <w:rFonts w:asciiTheme="majorBidi" w:hAnsiTheme="majorBidi"/>
          <w:color w:val="000000" w:themeColor="text1"/>
          <w:sz w:val="20"/>
          <w:szCs w:val="20"/>
        </w:rPr>
        <w:t>Lavigne</w:t>
      </w:r>
      <w:proofErr w:type="spellEnd"/>
      <w:r w:rsidRPr="006D4637">
        <w:rPr>
          <w:rFonts w:asciiTheme="majorBidi" w:hAnsiTheme="majorBidi"/>
          <w:color w:val="000000" w:themeColor="text1"/>
          <w:sz w:val="20"/>
          <w:szCs w:val="20"/>
        </w:rPr>
        <w:t xml:space="preserve">, Anat </w:t>
      </w:r>
      <w:proofErr w:type="spellStart"/>
      <w:r w:rsidRPr="006D4637">
        <w:rPr>
          <w:rFonts w:asciiTheme="majorBidi" w:hAnsiTheme="majorBidi"/>
          <w:color w:val="000000" w:themeColor="text1"/>
          <w:sz w:val="20"/>
          <w:szCs w:val="20"/>
        </w:rPr>
        <w:t>Bracha</w:t>
      </w:r>
      <w:proofErr w:type="spellEnd"/>
      <w:r w:rsidRPr="006D4637">
        <w:rPr>
          <w:rFonts w:asciiTheme="majorBidi" w:hAnsiTheme="majorBidi"/>
          <w:color w:val="000000" w:themeColor="text1"/>
          <w:sz w:val="20"/>
          <w:szCs w:val="20"/>
        </w:rPr>
        <w:t xml:space="preserve">, Yishay Yafeh, Adi </w:t>
      </w:r>
      <w:proofErr w:type="spellStart"/>
      <w:r w:rsidRPr="006D4637">
        <w:rPr>
          <w:rFonts w:asciiTheme="majorBidi" w:hAnsiTheme="majorBidi"/>
          <w:color w:val="000000" w:themeColor="text1"/>
          <w:sz w:val="20"/>
          <w:szCs w:val="20"/>
        </w:rPr>
        <w:t>Brender</w:t>
      </w:r>
      <w:proofErr w:type="spellEnd"/>
      <w:r w:rsidRPr="006D4637">
        <w:rPr>
          <w:rFonts w:asciiTheme="majorBidi" w:hAnsiTheme="majorBidi"/>
          <w:color w:val="000000" w:themeColor="text1"/>
          <w:sz w:val="20"/>
          <w:szCs w:val="20"/>
        </w:rPr>
        <w:t xml:space="preserve">, </w:t>
      </w:r>
      <w:proofErr w:type="spellStart"/>
      <w:r w:rsidRPr="006D4637">
        <w:rPr>
          <w:rFonts w:asciiTheme="majorBidi" w:hAnsiTheme="majorBidi"/>
          <w:color w:val="000000" w:themeColor="text1"/>
          <w:sz w:val="20"/>
          <w:szCs w:val="20"/>
        </w:rPr>
        <w:t>Avi</w:t>
      </w:r>
      <w:proofErr w:type="spellEnd"/>
      <w:r w:rsidRPr="006D4637">
        <w:rPr>
          <w:rFonts w:asciiTheme="majorBidi" w:hAnsiTheme="majorBidi"/>
          <w:color w:val="000000" w:themeColor="text1"/>
          <w:sz w:val="20"/>
          <w:szCs w:val="20"/>
        </w:rPr>
        <w:t xml:space="preserve"> </w:t>
      </w:r>
      <w:proofErr w:type="spellStart"/>
      <w:r w:rsidRPr="006D4637">
        <w:rPr>
          <w:rFonts w:asciiTheme="majorBidi" w:hAnsiTheme="majorBidi"/>
          <w:color w:val="000000" w:themeColor="text1"/>
          <w:sz w:val="20"/>
          <w:szCs w:val="20"/>
        </w:rPr>
        <w:t>Wohl</w:t>
      </w:r>
      <w:proofErr w:type="spellEnd"/>
      <w:r w:rsidRPr="006D4637">
        <w:rPr>
          <w:rFonts w:asciiTheme="majorBidi" w:hAnsiTheme="majorBidi"/>
          <w:color w:val="000000" w:themeColor="text1"/>
          <w:sz w:val="20"/>
          <w:szCs w:val="20"/>
        </w:rPr>
        <w:t xml:space="preserve">, Dan </w:t>
      </w:r>
      <w:proofErr w:type="spellStart"/>
      <w:r w:rsidRPr="006D4637">
        <w:rPr>
          <w:rFonts w:asciiTheme="majorBidi" w:hAnsiTheme="majorBidi"/>
          <w:color w:val="000000" w:themeColor="text1"/>
          <w:sz w:val="20"/>
          <w:szCs w:val="20"/>
        </w:rPr>
        <w:t>Galai</w:t>
      </w:r>
      <w:proofErr w:type="spellEnd"/>
      <w:r w:rsidRPr="006D4637">
        <w:rPr>
          <w:rFonts w:asciiTheme="majorBidi" w:hAnsiTheme="majorBidi"/>
          <w:color w:val="000000" w:themeColor="text1"/>
          <w:sz w:val="20"/>
          <w:szCs w:val="20"/>
        </w:rPr>
        <w:t xml:space="preserve">, </w:t>
      </w:r>
      <w:proofErr w:type="spellStart"/>
      <w:r w:rsidRPr="006D4637">
        <w:rPr>
          <w:rFonts w:asciiTheme="majorBidi" w:hAnsiTheme="majorBidi"/>
          <w:color w:val="000000" w:themeColor="text1"/>
          <w:sz w:val="20"/>
          <w:szCs w:val="20"/>
        </w:rPr>
        <w:t>Yoram</w:t>
      </w:r>
      <w:proofErr w:type="spellEnd"/>
      <w:r w:rsidRPr="006D4637">
        <w:rPr>
          <w:rFonts w:asciiTheme="majorBidi" w:hAnsiTheme="majorBidi"/>
          <w:color w:val="000000" w:themeColor="text1"/>
          <w:sz w:val="20"/>
          <w:szCs w:val="20"/>
        </w:rPr>
        <w:t xml:space="preserve"> </w:t>
      </w:r>
      <w:proofErr w:type="spellStart"/>
      <w:r w:rsidRPr="006D4637">
        <w:rPr>
          <w:rFonts w:asciiTheme="majorBidi" w:hAnsiTheme="majorBidi"/>
          <w:color w:val="000000" w:themeColor="text1"/>
          <w:sz w:val="20"/>
          <w:szCs w:val="20"/>
        </w:rPr>
        <w:t>Landskroner</w:t>
      </w:r>
      <w:proofErr w:type="spellEnd"/>
      <w:r w:rsidRPr="006D4637">
        <w:rPr>
          <w:rFonts w:asciiTheme="majorBidi" w:hAnsiTheme="majorBidi"/>
          <w:color w:val="000000" w:themeColor="text1"/>
          <w:sz w:val="20"/>
          <w:szCs w:val="20"/>
        </w:rPr>
        <w:t xml:space="preserve">, </w:t>
      </w:r>
      <w:proofErr w:type="spellStart"/>
      <w:r w:rsidRPr="006D4637">
        <w:rPr>
          <w:rFonts w:asciiTheme="majorBidi" w:hAnsiTheme="majorBidi"/>
          <w:color w:val="000000" w:themeColor="text1"/>
          <w:sz w:val="20"/>
          <w:szCs w:val="20"/>
        </w:rPr>
        <w:t>Yaniv</w:t>
      </w:r>
      <w:proofErr w:type="spellEnd"/>
      <w:r w:rsidRPr="006D4637">
        <w:rPr>
          <w:rFonts w:asciiTheme="majorBidi" w:hAnsiTheme="majorBidi"/>
          <w:color w:val="000000" w:themeColor="text1"/>
          <w:sz w:val="20"/>
          <w:szCs w:val="20"/>
        </w:rPr>
        <w:t xml:space="preserve"> Dover, Iain Embrey, </w:t>
      </w:r>
      <w:proofErr w:type="spellStart"/>
      <w:r w:rsidRPr="006D4637">
        <w:rPr>
          <w:rFonts w:asciiTheme="majorBidi" w:hAnsiTheme="majorBidi"/>
          <w:color w:val="000000" w:themeColor="text1"/>
          <w:sz w:val="20"/>
          <w:szCs w:val="20"/>
        </w:rPr>
        <w:t>Shlomo</w:t>
      </w:r>
      <w:proofErr w:type="spellEnd"/>
      <w:r w:rsidRPr="006D4637">
        <w:rPr>
          <w:rFonts w:asciiTheme="majorBidi" w:hAnsiTheme="majorBidi"/>
          <w:color w:val="000000" w:themeColor="text1"/>
          <w:sz w:val="20"/>
          <w:szCs w:val="20"/>
        </w:rPr>
        <w:t xml:space="preserve"> </w:t>
      </w:r>
      <w:proofErr w:type="spellStart"/>
      <w:r w:rsidRPr="006D4637">
        <w:rPr>
          <w:rFonts w:asciiTheme="majorBidi" w:hAnsiTheme="majorBidi"/>
          <w:color w:val="000000" w:themeColor="text1"/>
          <w:sz w:val="20"/>
          <w:szCs w:val="20"/>
        </w:rPr>
        <w:t>Benartzi</w:t>
      </w:r>
      <w:proofErr w:type="spellEnd"/>
      <w:r w:rsidRPr="006D4637">
        <w:rPr>
          <w:rFonts w:asciiTheme="majorBidi" w:hAnsiTheme="majorBidi"/>
          <w:color w:val="000000" w:themeColor="text1"/>
          <w:sz w:val="20"/>
          <w:szCs w:val="20"/>
        </w:rPr>
        <w:t xml:space="preserve"> and Naomi Hausman, participants in the 2016 Industrial Organization, Regulation and Competition Policy in Israel conference, the 2017 Law and Finance Research meeting, the 10</w:t>
      </w:r>
      <w:r w:rsidRPr="006D4637">
        <w:rPr>
          <w:rFonts w:asciiTheme="majorBidi" w:hAnsiTheme="majorBidi"/>
          <w:color w:val="000000" w:themeColor="text1"/>
          <w:sz w:val="20"/>
          <w:szCs w:val="20"/>
          <w:vertAlign w:val="superscript"/>
        </w:rPr>
        <w:t>th</w:t>
      </w:r>
      <w:r w:rsidRPr="006D4637">
        <w:rPr>
          <w:rFonts w:asciiTheme="majorBidi" w:hAnsiTheme="majorBidi"/>
          <w:color w:val="000000" w:themeColor="text1"/>
          <w:sz w:val="20"/>
          <w:szCs w:val="20"/>
        </w:rPr>
        <w:t xml:space="preserve"> Financial Risks International Forum, the 2017 BLGDRC conference, the </w:t>
      </w:r>
      <w:r w:rsidRPr="006D4637">
        <w:rPr>
          <w:rFonts w:asciiTheme="majorBidi" w:hAnsiTheme="majorBidi"/>
          <w:color w:val="auto"/>
          <w:sz w:val="20"/>
          <w:szCs w:val="20"/>
        </w:rPr>
        <w:t>2017 IAERP conference, the 2017 SPUDM conference,</w:t>
      </w:r>
      <w:r>
        <w:rPr>
          <w:rFonts w:asciiTheme="majorBidi" w:hAnsiTheme="majorBidi"/>
          <w:color w:val="auto"/>
          <w:sz w:val="20"/>
          <w:szCs w:val="20"/>
          <w:lang w:val="en-GB"/>
        </w:rPr>
        <w:t xml:space="preserve"> the 2018 FUR conference,</w:t>
      </w:r>
      <w:r w:rsidRPr="006D4637">
        <w:rPr>
          <w:rFonts w:asciiTheme="majorBidi" w:hAnsiTheme="majorBidi"/>
          <w:color w:val="auto"/>
          <w:sz w:val="20"/>
          <w:szCs w:val="20"/>
        </w:rPr>
        <w:t xml:space="preserve"> as well as seminar participants </w:t>
      </w:r>
      <w:r w:rsidRPr="006D4637">
        <w:rPr>
          <w:rFonts w:asciiTheme="majorBidi" w:hAnsiTheme="majorBidi"/>
          <w:color w:val="000000" w:themeColor="text1"/>
          <w:sz w:val="20"/>
          <w:szCs w:val="20"/>
        </w:rPr>
        <w:t xml:space="preserve">at the Hebrew University of Jerusalem, the Bank of Israel, the Center for Academic Studies Or Yehuda, and the Israel Antitrust Authority. </w:t>
      </w:r>
      <w:r>
        <w:rPr>
          <w:rFonts w:asciiTheme="majorBidi" w:hAnsiTheme="majorBidi"/>
          <w:color w:val="000000" w:themeColor="text1"/>
          <w:sz w:val="20"/>
          <w:szCs w:val="20"/>
        </w:rPr>
        <w:t>Sade</w:t>
      </w:r>
      <w:r w:rsidRPr="006D4637">
        <w:rPr>
          <w:rFonts w:asciiTheme="majorBidi" w:hAnsiTheme="majorBidi"/>
          <w:color w:val="000000" w:themeColor="text1"/>
          <w:sz w:val="20"/>
          <w:szCs w:val="20"/>
        </w:rPr>
        <w:t xml:space="preserve"> acknowledges financial support from the Krueger Center at the Hebrew University</w:t>
      </w:r>
      <w:r>
        <w:rPr>
          <w:rFonts w:asciiTheme="majorBidi" w:hAnsiTheme="majorBidi"/>
          <w:color w:val="000000" w:themeColor="text1"/>
          <w:sz w:val="20"/>
          <w:szCs w:val="20"/>
        </w:rPr>
        <w:t xml:space="preserve"> </w:t>
      </w:r>
      <w:r w:rsidRPr="006D4637">
        <w:rPr>
          <w:rFonts w:asciiTheme="majorBidi" w:hAnsiTheme="majorBidi"/>
          <w:color w:val="000000" w:themeColor="text1"/>
          <w:sz w:val="20"/>
          <w:szCs w:val="20"/>
        </w:rPr>
        <w:t xml:space="preserve">and the Stern School of Business at </w:t>
      </w:r>
      <w:r w:rsidRPr="006D4637">
        <w:rPr>
          <w:rFonts w:asciiTheme="majorBidi" w:hAnsiTheme="majorBidi"/>
          <w:color w:val="auto"/>
          <w:sz w:val="20"/>
          <w:szCs w:val="20"/>
        </w:rPr>
        <w:t>NYU</w:t>
      </w:r>
      <w:r w:rsidRPr="006D4637">
        <w:rPr>
          <w:rFonts w:asciiTheme="majorBidi" w:hAnsiTheme="majorBidi"/>
          <w:color w:val="000000" w:themeColor="text1"/>
          <w:sz w:val="20"/>
          <w:szCs w:val="20"/>
        </w:rPr>
        <w:t>.</w:t>
      </w:r>
    </w:p>
    <w:p w:rsidR="00132BCF" w:rsidRPr="006D4637" w:rsidRDefault="00132BCF" w:rsidP="00132BCF">
      <w:pPr>
        <w:pStyle w:val="a3"/>
        <w:bidi w:val="0"/>
        <w:rPr>
          <w:rFonts w:asciiTheme="majorBidi" w:hAnsiTheme="majorBidi" w:cstheme="majorBidi"/>
          <w:rtl/>
        </w:rPr>
      </w:pPr>
    </w:p>
  </w:footnote>
  <w:footnote w:id="2">
    <w:p w:rsidR="00132BCF" w:rsidRPr="006D4637" w:rsidRDefault="00132BCF" w:rsidP="00132BCF">
      <w:pPr>
        <w:pStyle w:val="a3"/>
        <w:bidi w:val="0"/>
        <w:rPr>
          <w:rFonts w:asciiTheme="majorBidi" w:hAnsiTheme="majorBidi" w:cstheme="majorBidi"/>
        </w:rPr>
      </w:pPr>
      <w:r w:rsidRPr="005F044E">
        <w:rPr>
          <w:rStyle w:val="a5"/>
          <w:rFonts w:asciiTheme="majorBidi" w:hAnsiTheme="majorBidi" w:cstheme="majorBidi"/>
        </w:rPr>
        <w:footnoteRef/>
      </w:r>
      <w:r w:rsidRPr="005F044E">
        <w:rPr>
          <w:rFonts w:asciiTheme="majorBidi" w:hAnsiTheme="majorBidi" w:cstheme="majorBidi"/>
          <w:rtl/>
        </w:rPr>
        <w:t xml:space="preserve"> </w:t>
      </w:r>
      <w:r w:rsidRPr="00415059">
        <w:rPr>
          <w:rFonts w:asciiTheme="majorBidi" w:hAnsiTheme="majorBidi" w:cstheme="majorBidi"/>
        </w:rPr>
        <w:t>F</w:t>
      </w:r>
      <w:r w:rsidRPr="006D4637">
        <w:rPr>
          <w:rFonts w:asciiTheme="majorBidi" w:hAnsiTheme="majorBidi" w:cstheme="majorBidi"/>
        </w:rPr>
        <w:t xml:space="preserve">or a summary of issues regarding time preferences, risk preferences, social preferences, overconfidence, projection bias, framing, limited attention, menu effects, persuasion, social pressure, and emotions, see </w:t>
      </w:r>
      <w:proofErr w:type="spellStart"/>
      <w:r w:rsidRPr="006D4637">
        <w:rPr>
          <w:rFonts w:asciiTheme="majorBidi" w:hAnsiTheme="majorBidi" w:cstheme="majorBidi"/>
        </w:rPr>
        <w:t>DellaVigna</w:t>
      </w:r>
      <w:proofErr w:type="spellEnd"/>
      <w:r w:rsidRPr="006D4637">
        <w:rPr>
          <w:rFonts w:asciiTheme="majorBidi" w:hAnsiTheme="majorBidi" w:cstheme="majorBidi"/>
        </w:rPr>
        <w:t xml:space="preserve"> (2009).</w:t>
      </w:r>
    </w:p>
  </w:footnote>
  <w:footnote w:id="3">
    <w:p w:rsidR="00132BCF" w:rsidRPr="006D4637" w:rsidRDefault="00132BCF" w:rsidP="00132BCF">
      <w:pPr>
        <w:bidi w:val="0"/>
        <w:spacing w:after="0" w:line="240" w:lineRule="auto"/>
        <w:rPr>
          <w:rFonts w:asciiTheme="majorBidi" w:hAnsiTheme="majorBidi" w:cstheme="majorBidi"/>
          <w:sz w:val="20"/>
          <w:szCs w:val="20"/>
        </w:rPr>
      </w:pPr>
      <w:r w:rsidRPr="005F044E">
        <w:rPr>
          <w:rStyle w:val="a5"/>
          <w:rFonts w:asciiTheme="majorBidi" w:hAnsiTheme="majorBidi" w:cstheme="majorBidi"/>
          <w:sz w:val="20"/>
          <w:szCs w:val="20"/>
        </w:rPr>
        <w:footnoteRef/>
      </w:r>
      <w:r w:rsidRPr="005F044E">
        <w:rPr>
          <w:rFonts w:asciiTheme="majorBidi" w:hAnsiTheme="majorBidi" w:cstheme="majorBidi"/>
          <w:sz w:val="20"/>
          <w:szCs w:val="20"/>
          <w:rtl/>
        </w:rPr>
        <w:t xml:space="preserve"> </w:t>
      </w:r>
      <w:r w:rsidRPr="00415059">
        <w:rPr>
          <w:rFonts w:asciiTheme="majorBidi" w:hAnsiTheme="majorBidi" w:cstheme="majorBidi"/>
          <w:sz w:val="20"/>
          <w:szCs w:val="20"/>
        </w:rPr>
        <w:t>The 2014 CMISD annual re</w:t>
      </w:r>
      <w:r w:rsidRPr="006D4637">
        <w:rPr>
          <w:rFonts w:asciiTheme="majorBidi" w:hAnsiTheme="majorBidi" w:cstheme="majorBidi"/>
          <w:sz w:val="20"/>
          <w:szCs w:val="20"/>
        </w:rPr>
        <w:t>port shows that in 2014, 48% of accounts in the new pension system were inactive and about 80% of accounts in the old pension system were inactive.</w:t>
      </w:r>
    </w:p>
  </w:footnote>
  <w:footnote w:id="4">
    <w:p w:rsidR="00132BCF" w:rsidRPr="006D4637" w:rsidRDefault="00132BCF" w:rsidP="00132BCF">
      <w:pPr>
        <w:pStyle w:val="a3"/>
        <w:bidi w:val="0"/>
        <w:rPr>
          <w:rFonts w:asciiTheme="majorBidi" w:hAnsiTheme="majorBidi" w:cstheme="majorBidi"/>
          <w:rtl/>
        </w:rPr>
      </w:pPr>
      <w:r w:rsidRPr="005F044E">
        <w:rPr>
          <w:rStyle w:val="a5"/>
          <w:rFonts w:asciiTheme="majorBidi" w:hAnsiTheme="majorBidi" w:cstheme="majorBidi"/>
        </w:rPr>
        <w:footnoteRef/>
      </w:r>
      <w:r w:rsidRPr="005F044E">
        <w:rPr>
          <w:rFonts w:asciiTheme="majorBidi" w:hAnsiTheme="majorBidi" w:cstheme="majorBidi"/>
          <w:rtl/>
        </w:rPr>
        <w:t xml:space="preserve"> </w:t>
      </w:r>
      <w:r w:rsidRPr="00415059">
        <w:rPr>
          <w:rFonts w:asciiTheme="majorBidi" w:hAnsiTheme="majorBidi" w:cstheme="majorBidi"/>
        </w:rPr>
        <w:t xml:space="preserve">Data </w:t>
      </w:r>
      <w:r w:rsidRPr="006D4637">
        <w:rPr>
          <w:rFonts w:asciiTheme="majorBidi" w:hAnsiTheme="majorBidi" w:cstheme="majorBidi"/>
        </w:rPr>
        <w:t>received by Capital Markets, Insurance, and Savings Division representatives.</w:t>
      </w:r>
    </w:p>
  </w:footnote>
  <w:footnote w:id="5">
    <w:p w:rsidR="00132BCF" w:rsidRPr="00415059" w:rsidRDefault="00132BCF" w:rsidP="00132BCF">
      <w:pPr>
        <w:bidi w:val="0"/>
        <w:spacing w:after="0" w:line="240" w:lineRule="auto"/>
        <w:rPr>
          <w:rFonts w:asciiTheme="majorBidi" w:hAnsiTheme="majorBidi" w:cstheme="majorBidi"/>
          <w:sz w:val="20"/>
          <w:szCs w:val="20"/>
        </w:rPr>
      </w:pPr>
      <w:r w:rsidRPr="005F044E">
        <w:rPr>
          <w:rStyle w:val="a5"/>
          <w:rFonts w:asciiTheme="majorBidi" w:hAnsiTheme="majorBidi" w:cstheme="majorBidi"/>
          <w:sz w:val="20"/>
          <w:szCs w:val="20"/>
        </w:rPr>
        <w:footnoteRef/>
      </w:r>
      <w:r w:rsidRPr="005F044E">
        <w:rPr>
          <w:rFonts w:asciiTheme="majorBidi" w:hAnsiTheme="majorBidi" w:cstheme="majorBidi"/>
          <w:sz w:val="20"/>
          <w:szCs w:val="20"/>
        </w:rPr>
        <w:t xml:space="preserve"> For further discussio</w:t>
      </w:r>
      <w:r w:rsidRPr="00415059">
        <w:rPr>
          <w:rFonts w:asciiTheme="majorBidi" w:hAnsiTheme="majorBidi" w:cstheme="majorBidi"/>
          <w:sz w:val="20"/>
          <w:szCs w:val="20"/>
        </w:rPr>
        <w:t xml:space="preserve">n see </w:t>
      </w:r>
      <w:proofErr w:type="spellStart"/>
      <w:r w:rsidRPr="00415059">
        <w:rPr>
          <w:rFonts w:asciiTheme="majorBidi" w:hAnsiTheme="majorBidi" w:cstheme="majorBidi"/>
          <w:sz w:val="20"/>
          <w:szCs w:val="20"/>
        </w:rPr>
        <w:t>Tversky</w:t>
      </w:r>
      <w:proofErr w:type="spellEnd"/>
      <w:r w:rsidRPr="00415059">
        <w:rPr>
          <w:rFonts w:asciiTheme="majorBidi" w:hAnsiTheme="majorBidi" w:cstheme="majorBidi"/>
          <w:sz w:val="20"/>
          <w:szCs w:val="20"/>
        </w:rPr>
        <w:t xml:space="preserve"> and </w:t>
      </w:r>
      <w:proofErr w:type="spellStart"/>
      <w:r w:rsidRPr="00415059">
        <w:rPr>
          <w:rFonts w:asciiTheme="majorBidi" w:hAnsiTheme="majorBidi" w:cstheme="majorBidi"/>
          <w:sz w:val="20"/>
          <w:szCs w:val="20"/>
        </w:rPr>
        <w:t>Shafir</w:t>
      </w:r>
      <w:proofErr w:type="spellEnd"/>
      <w:r w:rsidRPr="00415059">
        <w:rPr>
          <w:rFonts w:asciiTheme="majorBidi" w:hAnsiTheme="majorBidi" w:cstheme="majorBidi"/>
          <w:sz w:val="20"/>
          <w:szCs w:val="20"/>
        </w:rPr>
        <w:t xml:space="preserve"> (1992) and Heath and </w:t>
      </w:r>
      <w:proofErr w:type="spellStart"/>
      <w:r w:rsidRPr="00415059">
        <w:rPr>
          <w:rFonts w:asciiTheme="majorBidi" w:hAnsiTheme="majorBidi" w:cstheme="majorBidi"/>
          <w:sz w:val="20"/>
          <w:szCs w:val="20"/>
        </w:rPr>
        <w:t>Tversky</w:t>
      </w:r>
      <w:proofErr w:type="spellEnd"/>
      <w:r w:rsidRPr="00415059">
        <w:rPr>
          <w:rFonts w:asciiTheme="majorBidi" w:hAnsiTheme="majorBidi" w:cstheme="majorBidi"/>
          <w:sz w:val="20"/>
          <w:szCs w:val="20"/>
        </w:rPr>
        <w:t xml:space="preserve"> (1991).</w:t>
      </w:r>
    </w:p>
  </w:footnote>
  <w:footnote w:id="6">
    <w:p w:rsidR="00132BCF" w:rsidRPr="006D4637" w:rsidRDefault="00132BCF" w:rsidP="00132BCF">
      <w:pPr>
        <w:pStyle w:val="a3"/>
        <w:bidi w:val="0"/>
        <w:rPr>
          <w:rFonts w:asciiTheme="majorBidi" w:hAnsiTheme="majorBidi" w:cstheme="majorBidi"/>
          <w:lang w:val="en-GB"/>
        </w:rPr>
      </w:pPr>
      <w:r w:rsidRPr="006D4637">
        <w:rPr>
          <w:rStyle w:val="a5"/>
          <w:rFonts w:asciiTheme="majorBidi" w:hAnsiTheme="majorBidi" w:cstheme="majorBidi"/>
        </w:rPr>
        <w:footnoteRef/>
      </w:r>
      <w:r w:rsidRPr="006D4637">
        <w:rPr>
          <w:rFonts w:asciiTheme="majorBidi" w:hAnsiTheme="majorBidi" w:cstheme="majorBidi"/>
          <w:lang w:val="en-GB"/>
        </w:rPr>
        <w:t xml:space="preserve"> Provident fund account holders come from localities with a slightly higher socioeconomic index than the country average but the general closing rate is in line with the country’s average reported by the regulator.  The survey is an internet survey and hence, like all Internet surveys, it represents only the technologically skilled population and underrepresents certain parts of the population.</w:t>
      </w:r>
    </w:p>
  </w:footnote>
  <w:footnote w:id="7">
    <w:p w:rsidR="00132BCF" w:rsidRPr="006D4637" w:rsidRDefault="00132BCF" w:rsidP="00132BCF">
      <w:pPr>
        <w:pStyle w:val="a3"/>
        <w:bidi w:val="0"/>
        <w:rPr>
          <w:rFonts w:asciiTheme="majorBidi" w:hAnsiTheme="majorBidi" w:cstheme="majorBidi"/>
        </w:rPr>
      </w:pPr>
      <w:r w:rsidRPr="006D4637">
        <w:rPr>
          <w:rStyle w:val="a5"/>
          <w:rFonts w:asciiTheme="majorBidi" w:hAnsiTheme="majorBidi" w:cstheme="majorBidi"/>
        </w:rPr>
        <w:footnoteRef/>
      </w:r>
      <w:r w:rsidRPr="006D4637">
        <w:rPr>
          <w:rFonts w:asciiTheme="majorBidi" w:hAnsiTheme="majorBidi" w:cstheme="majorBidi"/>
          <w:rtl/>
        </w:rPr>
        <w:t xml:space="preserve"> </w:t>
      </w:r>
      <w:r w:rsidRPr="006D4637">
        <w:rPr>
          <w:rFonts w:asciiTheme="majorBidi" w:hAnsiTheme="majorBidi" w:cstheme="majorBidi"/>
        </w:rPr>
        <w:t>Currie et al. (2006) and Bhargava et al. (2015)</w:t>
      </w:r>
    </w:p>
  </w:footnote>
  <w:footnote w:id="8">
    <w:p w:rsidR="00132BCF" w:rsidRPr="006D4637" w:rsidRDefault="00132BCF" w:rsidP="00132BCF">
      <w:pPr>
        <w:autoSpaceDE w:val="0"/>
        <w:autoSpaceDN w:val="0"/>
        <w:bidi w:val="0"/>
        <w:adjustRightInd w:val="0"/>
        <w:spacing w:after="0" w:line="240" w:lineRule="auto"/>
        <w:rPr>
          <w:rFonts w:asciiTheme="majorBidi" w:hAnsiTheme="majorBidi" w:cstheme="majorBidi"/>
          <w:sz w:val="20"/>
          <w:szCs w:val="20"/>
          <w:rtl/>
        </w:rPr>
      </w:pPr>
      <w:r w:rsidRPr="005F044E">
        <w:rPr>
          <w:rStyle w:val="a5"/>
          <w:rFonts w:asciiTheme="majorBidi" w:hAnsiTheme="majorBidi" w:cstheme="majorBidi"/>
          <w:sz w:val="20"/>
          <w:szCs w:val="20"/>
        </w:rPr>
        <w:footnoteRef/>
      </w:r>
      <w:r w:rsidRPr="005F044E">
        <w:rPr>
          <w:rFonts w:asciiTheme="majorBidi" w:hAnsiTheme="majorBidi" w:cstheme="majorBidi"/>
          <w:sz w:val="20"/>
          <w:szCs w:val="20"/>
        </w:rPr>
        <w:t xml:space="preserve"> For example, Russell et al. (2014), Herd et al. (2013), </w:t>
      </w:r>
      <w:proofErr w:type="spellStart"/>
      <w:r w:rsidRPr="005F044E">
        <w:rPr>
          <w:rFonts w:asciiTheme="majorBidi" w:hAnsiTheme="majorBidi" w:cstheme="majorBidi"/>
          <w:sz w:val="20"/>
          <w:szCs w:val="20"/>
        </w:rPr>
        <w:t>Riphahn</w:t>
      </w:r>
      <w:proofErr w:type="spellEnd"/>
      <w:r w:rsidRPr="005F044E">
        <w:rPr>
          <w:rFonts w:asciiTheme="majorBidi" w:hAnsiTheme="majorBidi" w:cstheme="majorBidi"/>
          <w:sz w:val="20"/>
          <w:szCs w:val="20"/>
        </w:rPr>
        <w:t xml:space="preserve"> (2001), Leventhal et al. (1965), Coe (1983), and </w:t>
      </w:r>
      <w:proofErr w:type="spellStart"/>
      <w:r w:rsidRPr="005F044E">
        <w:rPr>
          <w:rFonts w:asciiTheme="majorBidi" w:hAnsiTheme="majorBidi" w:cstheme="majorBidi"/>
          <w:sz w:val="20"/>
          <w:szCs w:val="20"/>
        </w:rPr>
        <w:t>Daponte</w:t>
      </w:r>
      <w:proofErr w:type="spellEnd"/>
      <w:r w:rsidRPr="005F044E">
        <w:rPr>
          <w:rFonts w:asciiTheme="majorBidi" w:hAnsiTheme="majorBidi" w:cstheme="majorBidi"/>
          <w:sz w:val="20"/>
          <w:szCs w:val="20"/>
        </w:rPr>
        <w:t xml:space="preserve"> et al. (1998). Coe (1983) emphasizes lack of information as the most significant explanation for the unsatisfactory take-up rate of th</w:t>
      </w:r>
      <w:r w:rsidRPr="006D4637">
        <w:rPr>
          <w:rFonts w:asciiTheme="majorBidi" w:hAnsiTheme="majorBidi" w:cstheme="majorBidi"/>
          <w:sz w:val="20"/>
          <w:szCs w:val="20"/>
        </w:rPr>
        <w:t>e food stamps program, even though the program was heavily publicized. Bhargava et al. (2015) claim that take-up is sensitive to the frequency, salience, and simplicity with which information is provided.</w:t>
      </w:r>
      <w:r w:rsidRPr="006D4637">
        <w:rPr>
          <w:rFonts w:asciiTheme="majorBidi" w:hAnsiTheme="majorBidi" w:cstheme="majorBidi"/>
          <w:color w:val="231F20"/>
          <w:sz w:val="20"/>
          <w:szCs w:val="20"/>
        </w:rPr>
        <w:t xml:space="preserve"> </w:t>
      </w:r>
      <w:proofErr w:type="spellStart"/>
      <w:r w:rsidRPr="006D4637">
        <w:rPr>
          <w:rFonts w:asciiTheme="majorBidi" w:hAnsiTheme="majorBidi" w:cstheme="majorBidi"/>
          <w:sz w:val="20"/>
          <w:szCs w:val="20"/>
        </w:rPr>
        <w:t>Ebenstein</w:t>
      </w:r>
      <w:proofErr w:type="spellEnd"/>
      <w:r w:rsidRPr="006D4637">
        <w:rPr>
          <w:rFonts w:asciiTheme="majorBidi" w:hAnsiTheme="majorBidi" w:cstheme="majorBidi"/>
          <w:sz w:val="20"/>
          <w:szCs w:val="20"/>
        </w:rPr>
        <w:t xml:space="preserve"> and Stage (2010) suggest that reducing application barriers alone may not be an effective tool for increasing program participation and that information barriers may still exist.</w:t>
      </w:r>
    </w:p>
  </w:footnote>
  <w:footnote w:id="9">
    <w:p w:rsidR="00132BCF" w:rsidRPr="006D4637" w:rsidRDefault="00132BCF" w:rsidP="00132BCF">
      <w:pPr>
        <w:pStyle w:val="a3"/>
        <w:bidi w:val="0"/>
        <w:rPr>
          <w:rFonts w:asciiTheme="majorBidi" w:hAnsiTheme="majorBidi" w:cstheme="majorBidi"/>
        </w:rPr>
      </w:pPr>
      <w:r w:rsidRPr="006D4637">
        <w:rPr>
          <w:rStyle w:val="a5"/>
          <w:rFonts w:asciiTheme="majorBidi" w:hAnsiTheme="majorBidi" w:cstheme="majorBidi"/>
        </w:rPr>
        <w:footnoteRef/>
      </w:r>
      <w:r w:rsidRPr="006D4637">
        <w:rPr>
          <w:rFonts w:asciiTheme="majorBidi" w:hAnsiTheme="majorBidi" w:cstheme="majorBidi"/>
          <w:rtl/>
        </w:rPr>
        <w:t xml:space="preserve"> </w:t>
      </w:r>
      <w:r w:rsidRPr="006D4637">
        <w:rPr>
          <w:rFonts w:asciiTheme="majorBidi" w:hAnsiTheme="majorBidi" w:cstheme="majorBidi"/>
        </w:rPr>
        <w:t xml:space="preserve">Currie et al. (2006) cite three channels that were found to affect less privileged populations: lack of information, stigma, and transaction costs. Moffitt (1983) provides an economic model of stigma and </w:t>
      </w:r>
      <w:proofErr w:type="spellStart"/>
      <w:r w:rsidRPr="006D4637">
        <w:rPr>
          <w:rFonts w:asciiTheme="majorBidi" w:hAnsiTheme="majorBidi" w:cstheme="majorBidi"/>
        </w:rPr>
        <w:t>Baumberg</w:t>
      </w:r>
      <w:proofErr w:type="spellEnd"/>
      <w:r w:rsidRPr="006D4637">
        <w:rPr>
          <w:rFonts w:asciiTheme="majorBidi" w:hAnsiTheme="majorBidi" w:cstheme="majorBidi"/>
        </w:rPr>
        <w:t xml:space="preserve"> (2016) shows a quantitative measure of the effect of stigma on benefit take-up in the UK. </w:t>
      </w:r>
    </w:p>
  </w:footnote>
  <w:footnote w:id="10">
    <w:p w:rsidR="00132BCF" w:rsidRPr="006D4637" w:rsidRDefault="00132BCF" w:rsidP="00132BCF">
      <w:pPr>
        <w:pStyle w:val="a3"/>
        <w:bidi w:val="0"/>
        <w:rPr>
          <w:rFonts w:asciiTheme="majorBidi" w:hAnsiTheme="majorBidi" w:cstheme="majorBidi"/>
          <w:rtl/>
        </w:rPr>
      </w:pPr>
      <w:r w:rsidRPr="005F044E">
        <w:rPr>
          <w:rStyle w:val="a5"/>
          <w:rFonts w:asciiTheme="majorBidi" w:hAnsiTheme="majorBidi" w:cstheme="majorBidi"/>
        </w:rPr>
        <w:footnoteRef/>
      </w:r>
      <w:r w:rsidRPr="005F044E">
        <w:rPr>
          <w:rFonts w:asciiTheme="majorBidi" w:hAnsiTheme="majorBidi" w:cstheme="majorBidi"/>
          <w:rtl/>
        </w:rPr>
        <w:t xml:space="preserve"> </w:t>
      </w:r>
      <w:proofErr w:type="spellStart"/>
      <w:r w:rsidRPr="00415059">
        <w:rPr>
          <w:rFonts w:asciiTheme="majorBidi" w:hAnsiTheme="majorBidi" w:cstheme="majorBidi"/>
        </w:rPr>
        <w:t>Hilgert</w:t>
      </w:r>
      <w:proofErr w:type="spellEnd"/>
      <w:r w:rsidRPr="00415059">
        <w:rPr>
          <w:rFonts w:asciiTheme="majorBidi" w:hAnsiTheme="majorBidi" w:cstheme="majorBidi"/>
        </w:rPr>
        <w:t xml:space="preserve"> et al. (2003), Bayer et al. (2009)</w:t>
      </w:r>
      <w:proofErr w:type="gramStart"/>
      <w:r w:rsidRPr="00415059">
        <w:rPr>
          <w:rFonts w:asciiTheme="majorBidi" w:hAnsiTheme="majorBidi" w:cstheme="majorBidi"/>
        </w:rPr>
        <w:t>,Clark</w:t>
      </w:r>
      <w:proofErr w:type="gramEnd"/>
      <w:r w:rsidRPr="00415059">
        <w:rPr>
          <w:rFonts w:asciiTheme="majorBidi" w:hAnsiTheme="majorBidi" w:cstheme="majorBidi"/>
        </w:rPr>
        <w:t xml:space="preserve"> et al. (2015) and</w:t>
      </w:r>
      <w:r w:rsidRPr="00585E88">
        <w:rPr>
          <w:rFonts w:asciiTheme="majorBidi" w:hAnsiTheme="majorBidi" w:cstheme="majorBidi"/>
        </w:rPr>
        <w:t xml:space="preserve"> Uppal (2016); for a review, see Lusardi and Mitchell (2014).</w:t>
      </w:r>
    </w:p>
  </w:footnote>
  <w:footnote w:id="11">
    <w:p w:rsidR="00132BCF" w:rsidRPr="00415059" w:rsidRDefault="00132BCF" w:rsidP="00132BCF">
      <w:pPr>
        <w:pStyle w:val="a3"/>
        <w:bidi w:val="0"/>
        <w:rPr>
          <w:rFonts w:asciiTheme="majorBidi" w:hAnsiTheme="majorBidi" w:cstheme="majorBidi"/>
          <w:rtl/>
        </w:rPr>
      </w:pPr>
      <w:r w:rsidRPr="005F044E">
        <w:rPr>
          <w:rStyle w:val="a5"/>
          <w:rFonts w:asciiTheme="majorBidi" w:hAnsiTheme="majorBidi" w:cstheme="majorBidi"/>
        </w:rPr>
        <w:footnoteRef/>
      </w:r>
      <w:r w:rsidRPr="005F044E">
        <w:rPr>
          <w:rFonts w:asciiTheme="majorBidi" w:hAnsiTheme="majorBidi" w:cstheme="majorBidi"/>
          <w:rtl/>
        </w:rPr>
        <w:t xml:space="preserve"> </w:t>
      </w:r>
      <w:proofErr w:type="gramStart"/>
      <w:r w:rsidRPr="00415059">
        <w:rPr>
          <w:rFonts w:asciiTheme="majorBidi" w:hAnsiTheme="majorBidi" w:cstheme="majorBidi"/>
        </w:rPr>
        <w:t xml:space="preserve">Lusardi and </w:t>
      </w:r>
      <w:proofErr w:type="spellStart"/>
      <w:r w:rsidRPr="00415059">
        <w:rPr>
          <w:rFonts w:asciiTheme="majorBidi" w:hAnsiTheme="majorBidi" w:cstheme="majorBidi"/>
        </w:rPr>
        <w:t>Tufano</w:t>
      </w:r>
      <w:proofErr w:type="spellEnd"/>
      <w:r w:rsidRPr="00415059">
        <w:rPr>
          <w:rFonts w:asciiTheme="majorBidi" w:hAnsiTheme="majorBidi" w:cstheme="majorBidi"/>
        </w:rPr>
        <w:t xml:space="preserve"> (2009).</w:t>
      </w:r>
      <w:proofErr w:type="gramEnd"/>
    </w:p>
  </w:footnote>
  <w:footnote w:id="12">
    <w:p w:rsidR="00132BCF" w:rsidRPr="00415059" w:rsidRDefault="00132BCF" w:rsidP="00132BCF">
      <w:pPr>
        <w:pStyle w:val="a3"/>
        <w:bidi w:val="0"/>
        <w:rPr>
          <w:rFonts w:asciiTheme="majorBidi" w:hAnsiTheme="majorBidi" w:cstheme="majorBidi"/>
          <w:rtl/>
        </w:rPr>
      </w:pPr>
      <w:r w:rsidRPr="005F044E">
        <w:rPr>
          <w:rStyle w:val="a5"/>
          <w:rFonts w:asciiTheme="majorBidi" w:hAnsiTheme="majorBidi" w:cstheme="majorBidi"/>
        </w:rPr>
        <w:footnoteRef/>
      </w:r>
      <w:r w:rsidRPr="005F044E">
        <w:rPr>
          <w:rFonts w:asciiTheme="majorBidi" w:hAnsiTheme="majorBidi" w:cstheme="majorBidi"/>
          <w:rtl/>
        </w:rPr>
        <w:t xml:space="preserve"> </w:t>
      </w:r>
      <w:r w:rsidRPr="00415059">
        <w:rPr>
          <w:rFonts w:asciiTheme="majorBidi" w:hAnsiTheme="majorBidi" w:cstheme="majorBidi"/>
        </w:rPr>
        <w:t xml:space="preserve">Van </w:t>
      </w:r>
      <w:proofErr w:type="spellStart"/>
      <w:r w:rsidRPr="00415059">
        <w:rPr>
          <w:rFonts w:asciiTheme="majorBidi" w:hAnsiTheme="majorBidi" w:cstheme="majorBidi"/>
        </w:rPr>
        <w:t>Rooij</w:t>
      </w:r>
      <w:proofErr w:type="spellEnd"/>
      <w:r w:rsidRPr="00415059">
        <w:rPr>
          <w:rFonts w:asciiTheme="majorBidi" w:hAnsiTheme="majorBidi" w:cstheme="majorBidi"/>
        </w:rPr>
        <w:t xml:space="preserve"> et al. (2011).</w:t>
      </w:r>
    </w:p>
  </w:footnote>
  <w:footnote w:id="13">
    <w:p w:rsidR="00132BCF" w:rsidRPr="00415059" w:rsidRDefault="00132BCF" w:rsidP="00132BCF">
      <w:pPr>
        <w:pStyle w:val="a3"/>
        <w:bidi w:val="0"/>
        <w:rPr>
          <w:rFonts w:asciiTheme="majorBidi" w:hAnsiTheme="majorBidi" w:cstheme="majorBidi"/>
        </w:rPr>
      </w:pPr>
      <w:r w:rsidRPr="005F044E">
        <w:rPr>
          <w:rStyle w:val="a5"/>
          <w:rFonts w:asciiTheme="majorBidi" w:hAnsiTheme="majorBidi" w:cstheme="majorBidi"/>
        </w:rPr>
        <w:footnoteRef/>
      </w:r>
      <w:r w:rsidRPr="005F044E">
        <w:rPr>
          <w:rFonts w:asciiTheme="majorBidi" w:hAnsiTheme="majorBidi" w:cstheme="majorBidi"/>
          <w:rtl/>
        </w:rPr>
        <w:t xml:space="preserve"> </w:t>
      </w:r>
      <w:proofErr w:type="gramStart"/>
      <w:r w:rsidRPr="00415059">
        <w:rPr>
          <w:rFonts w:asciiTheme="majorBidi" w:hAnsiTheme="majorBidi" w:cstheme="majorBidi"/>
        </w:rPr>
        <w:t>Hastings and Tejeda-Ashton (2008), Hastings et al. (2010), and Hastings and Mitchell (2011).</w:t>
      </w:r>
      <w:proofErr w:type="gramEnd"/>
    </w:p>
  </w:footnote>
  <w:footnote w:id="14">
    <w:p w:rsidR="00132BCF" w:rsidRPr="00585E88" w:rsidRDefault="00132BCF" w:rsidP="00132BCF">
      <w:pPr>
        <w:pStyle w:val="a3"/>
        <w:bidi w:val="0"/>
        <w:rPr>
          <w:rFonts w:asciiTheme="majorBidi" w:hAnsiTheme="majorBidi" w:cstheme="majorBidi"/>
        </w:rPr>
      </w:pPr>
      <w:r w:rsidRPr="005F044E">
        <w:rPr>
          <w:rStyle w:val="a5"/>
          <w:rFonts w:asciiTheme="majorBidi" w:hAnsiTheme="majorBidi" w:cstheme="majorBidi"/>
        </w:rPr>
        <w:footnoteRef/>
      </w:r>
      <w:r w:rsidRPr="005F044E">
        <w:rPr>
          <w:rFonts w:asciiTheme="majorBidi" w:hAnsiTheme="majorBidi" w:cstheme="majorBidi"/>
          <w:rtl/>
        </w:rPr>
        <w:t xml:space="preserve"> </w:t>
      </w:r>
      <w:proofErr w:type="gramStart"/>
      <w:r w:rsidRPr="00415059">
        <w:rPr>
          <w:rFonts w:asciiTheme="majorBidi" w:hAnsiTheme="majorBidi" w:cstheme="majorBidi"/>
        </w:rPr>
        <w:t xml:space="preserve">Stango and </w:t>
      </w:r>
      <w:proofErr w:type="spellStart"/>
      <w:r w:rsidRPr="00415059">
        <w:rPr>
          <w:rFonts w:asciiTheme="majorBidi" w:hAnsiTheme="majorBidi" w:cstheme="majorBidi"/>
        </w:rPr>
        <w:t>Zinman</w:t>
      </w:r>
      <w:proofErr w:type="spellEnd"/>
      <w:r w:rsidRPr="00415059">
        <w:rPr>
          <w:rFonts w:asciiTheme="majorBidi" w:hAnsiTheme="majorBidi" w:cstheme="majorBidi"/>
        </w:rPr>
        <w:t xml:space="preserve"> (2009), </w:t>
      </w:r>
      <w:proofErr w:type="spellStart"/>
      <w:r w:rsidRPr="00415059">
        <w:rPr>
          <w:rFonts w:asciiTheme="majorBidi" w:hAnsiTheme="majorBidi" w:cstheme="majorBidi"/>
        </w:rPr>
        <w:t>Hilgert</w:t>
      </w:r>
      <w:proofErr w:type="spellEnd"/>
      <w:r w:rsidRPr="00415059">
        <w:rPr>
          <w:rFonts w:asciiTheme="majorBidi" w:hAnsiTheme="majorBidi" w:cstheme="majorBidi"/>
        </w:rPr>
        <w:t xml:space="preserve"> et al. </w:t>
      </w:r>
      <w:r w:rsidRPr="00585E88">
        <w:rPr>
          <w:rFonts w:asciiTheme="majorBidi" w:hAnsiTheme="majorBidi" w:cstheme="majorBidi"/>
        </w:rPr>
        <w:t>(2003), and Lusardi (2008).</w:t>
      </w:r>
      <w:proofErr w:type="gramEnd"/>
    </w:p>
  </w:footnote>
  <w:footnote w:id="15">
    <w:p w:rsidR="00132BCF" w:rsidRPr="006D4637" w:rsidRDefault="00132BCF" w:rsidP="00132BCF">
      <w:pPr>
        <w:bidi w:val="0"/>
        <w:spacing w:after="0" w:line="240" w:lineRule="auto"/>
        <w:rPr>
          <w:rFonts w:asciiTheme="majorBidi" w:hAnsiTheme="majorBidi" w:cstheme="majorBidi"/>
          <w:sz w:val="20"/>
          <w:szCs w:val="20"/>
        </w:rPr>
      </w:pPr>
      <w:r w:rsidRPr="005F044E">
        <w:rPr>
          <w:rStyle w:val="a5"/>
          <w:rFonts w:asciiTheme="majorBidi" w:hAnsiTheme="majorBidi" w:cstheme="majorBidi"/>
          <w:sz w:val="20"/>
          <w:szCs w:val="20"/>
        </w:rPr>
        <w:footnoteRef/>
      </w:r>
      <w:r w:rsidRPr="005F044E">
        <w:rPr>
          <w:rFonts w:asciiTheme="majorBidi" w:hAnsiTheme="majorBidi" w:cstheme="majorBidi"/>
          <w:sz w:val="20"/>
          <w:szCs w:val="20"/>
        </w:rPr>
        <w:t xml:space="preserve"> </w:t>
      </w:r>
      <w:proofErr w:type="gramStart"/>
      <w:r w:rsidRPr="005F044E">
        <w:rPr>
          <w:rFonts w:asciiTheme="majorBidi" w:hAnsiTheme="majorBidi" w:cstheme="majorBidi"/>
          <w:sz w:val="20"/>
          <w:szCs w:val="20"/>
        </w:rPr>
        <w:t>OECD (2005), Lusardi and Mitchell (2008), Atkinson and Messy (2012), Brown and Graf (2013), Lusardi and Mitchell (2014), and Bucher-</w:t>
      </w:r>
      <w:proofErr w:type="spellStart"/>
      <w:r w:rsidRPr="005F044E">
        <w:rPr>
          <w:rFonts w:asciiTheme="majorBidi" w:hAnsiTheme="majorBidi" w:cstheme="majorBidi"/>
          <w:sz w:val="20"/>
          <w:szCs w:val="20"/>
        </w:rPr>
        <w:t>Koenen</w:t>
      </w:r>
      <w:proofErr w:type="spellEnd"/>
      <w:r w:rsidRPr="005F044E">
        <w:rPr>
          <w:rFonts w:asciiTheme="majorBidi" w:hAnsiTheme="majorBidi" w:cstheme="majorBidi"/>
          <w:sz w:val="20"/>
          <w:szCs w:val="20"/>
        </w:rPr>
        <w:t xml:space="preserve"> et al. (2017).</w:t>
      </w:r>
      <w:proofErr w:type="gramEnd"/>
      <w:r w:rsidRPr="005F044E">
        <w:rPr>
          <w:rFonts w:asciiTheme="majorBidi" w:hAnsiTheme="majorBidi" w:cstheme="majorBidi"/>
          <w:sz w:val="20"/>
          <w:szCs w:val="20"/>
        </w:rPr>
        <w:t xml:space="preserve"> Financial literacy is also related to personal attributes such as cognit</w:t>
      </w:r>
      <w:r w:rsidRPr="006D4637">
        <w:rPr>
          <w:rFonts w:asciiTheme="majorBidi" w:hAnsiTheme="majorBidi" w:cstheme="majorBidi"/>
          <w:sz w:val="20"/>
          <w:szCs w:val="20"/>
        </w:rPr>
        <w:t xml:space="preserve">ive ability and motivation; see, e.g., </w:t>
      </w:r>
      <w:proofErr w:type="spellStart"/>
      <w:r w:rsidRPr="006D4637">
        <w:rPr>
          <w:rFonts w:asciiTheme="majorBidi" w:hAnsiTheme="majorBidi" w:cstheme="majorBidi"/>
          <w:sz w:val="20"/>
          <w:szCs w:val="20"/>
        </w:rPr>
        <w:t>Fernandes</w:t>
      </w:r>
      <w:proofErr w:type="spellEnd"/>
      <w:r w:rsidRPr="006D4637">
        <w:rPr>
          <w:rFonts w:asciiTheme="majorBidi" w:hAnsiTheme="majorBidi" w:cstheme="majorBidi"/>
          <w:sz w:val="20"/>
          <w:szCs w:val="20"/>
        </w:rPr>
        <w:t xml:space="preserve"> et al. (2014), Van </w:t>
      </w:r>
      <w:proofErr w:type="spellStart"/>
      <w:r w:rsidRPr="006D4637">
        <w:rPr>
          <w:rFonts w:asciiTheme="majorBidi" w:hAnsiTheme="majorBidi" w:cstheme="majorBidi"/>
          <w:sz w:val="20"/>
          <w:szCs w:val="20"/>
        </w:rPr>
        <w:t>Rooij</w:t>
      </w:r>
      <w:proofErr w:type="spellEnd"/>
      <w:r w:rsidRPr="006D4637">
        <w:rPr>
          <w:rFonts w:asciiTheme="majorBidi" w:hAnsiTheme="majorBidi" w:cstheme="majorBidi"/>
          <w:sz w:val="20"/>
          <w:szCs w:val="20"/>
        </w:rPr>
        <w:t xml:space="preserve"> et al. (2011), and Lusardi et al. (2010).</w:t>
      </w:r>
    </w:p>
  </w:footnote>
  <w:footnote w:id="16">
    <w:p w:rsidR="00132BCF" w:rsidRPr="00415059" w:rsidRDefault="00132BCF" w:rsidP="00132BCF">
      <w:pPr>
        <w:pStyle w:val="a3"/>
        <w:bidi w:val="0"/>
        <w:rPr>
          <w:rFonts w:asciiTheme="majorBidi" w:hAnsiTheme="majorBidi" w:cstheme="majorBidi"/>
        </w:rPr>
      </w:pPr>
      <w:r w:rsidRPr="005F044E">
        <w:rPr>
          <w:rStyle w:val="a5"/>
          <w:rFonts w:asciiTheme="majorBidi" w:hAnsiTheme="majorBidi" w:cstheme="majorBidi"/>
        </w:rPr>
        <w:footnoteRef/>
      </w:r>
      <w:r w:rsidRPr="005F044E">
        <w:rPr>
          <w:rFonts w:asciiTheme="majorBidi" w:hAnsiTheme="majorBidi" w:cstheme="majorBidi"/>
          <w:rtl/>
        </w:rPr>
        <w:t xml:space="preserve"> </w:t>
      </w:r>
      <w:proofErr w:type="gramStart"/>
      <w:r w:rsidRPr="00415059">
        <w:rPr>
          <w:rFonts w:asciiTheme="majorBidi" w:hAnsiTheme="majorBidi" w:cstheme="majorBidi"/>
        </w:rPr>
        <w:t>Lusardi et al. (2010) and Mandell (2008).</w:t>
      </w:r>
      <w:proofErr w:type="gramEnd"/>
    </w:p>
  </w:footnote>
  <w:footnote w:id="17">
    <w:p w:rsidR="00132BCF" w:rsidRPr="00585E88" w:rsidRDefault="00132BCF" w:rsidP="00132BCF">
      <w:pPr>
        <w:bidi w:val="0"/>
        <w:spacing w:after="0" w:line="240" w:lineRule="auto"/>
        <w:rPr>
          <w:rFonts w:asciiTheme="majorBidi" w:hAnsiTheme="majorBidi" w:cstheme="majorBidi"/>
          <w:sz w:val="20"/>
          <w:szCs w:val="20"/>
        </w:rPr>
      </w:pPr>
      <w:r w:rsidRPr="005F044E">
        <w:rPr>
          <w:rStyle w:val="a5"/>
          <w:rFonts w:asciiTheme="majorBidi" w:hAnsiTheme="majorBidi" w:cstheme="majorBidi"/>
          <w:sz w:val="20"/>
          <w:szCs w:val="20"/>
        </w:rPr>
        <w:footnoteRef/>
      </w:r>
      <w:r w:rsidRPr="005F044E">
        <w:rPr>
          <w:rFonts w:asciiTheme="majorBidi" w:hAnsiTheme="majorBidi" w:cstheme="majorBidi"/>
          <w:sz w:val="20"/>
          <w:szCs w:val="20"/>
        </w:rPr>
        <w:t xml:space="preserve">Financial confidence was found to be important in Van </w:t>
      </w:r>
      <w:proofErr w:type="spellStart"/>
      <w:r w:rsidRPr="005F044E">
        <w:rPr>
          <w:rFonts w:asciiTheme="majorBidi" w:hAnsiTheme="majorBidi" w:cstheme="majorBidi"/>
          <w:sz w:val="20"/>
          <w:szCs w:val="20"/>
        </w:rPr>
        <w:t>Rooij</w:t>
      </w:r>
      <w:proofErr w:type="spellEnd"/>
      <w:r w:rsidRPr="005F044E">
        <w:rPr>
          <w:rFonts w:asciiTheme="majorBidi" w:hAnsiTheme="majorBidi" w:cstheme="majorBidi"/>
          <w:sz w:val="20"/>
          <w:szCs w:val="20"/>
        </w:rPr>
        <w:t xml:space="preserve"> et al. (2012), Parker et al. (2012)</w:t>
      </w:r>
      <w:r w:rsidRPr="00415059">
        <w:rPr>
          <w:rFonts w:asciiTheme="majorBidi" w:hAnsiTheme="majorBidi" w:cstheme="majorBidi"/>
          <w:sz w:val="20"/>
          <w:szCs w:val="20"/>
        </w:rPr>
        <w:t>,</w:t>
      </w:r>
      <w:r w:rsidRPr="00415059">
        <w:rPr>
          <w:rFonts w:asciiTheme="majorBidi" w:hAnsiTheme="majorBidi" w:cstheme="majorBidi"/>
          <w:sz w:val="20"/>
          <w:szCs w:val="20"/>
          <w:rtl/>
        </w:rPr>
        <w:t xml:space="preserve"> </w:t>
      </w:r>
      <w:r w:rsidRPr="00585E88">
        <w:rPr>
          <w:rFonts w:asciiTheme="majorBidi" w:hAnsiTheme="majorBidi" w:cstheme="majorBidi"/>
          <w:sz w:val="20"/>
          <w:szCs w:val="20"/>
        </w:rPr>
        <w:t xml:space="preserve">Lusardi and Mitchell (2007, 2017), Lusardi and Beeler (2006), Lusardi et al. (2017), and, using different measures, </w:t>
      </w:r>
      <w:proofErr w:type="spellStart"/>
      <w:r w:rsidRPr="00585E88">
        <w:rPr>
          <w:rFonts w:asciiTheme="majorBidi" w:hAnsiTheme="majorBidi" w:cstheme="majorBidi"/>
          <w:sz w:val="20"/>
          <w:szCs w:val="20"/>
        </w:rPr>
        <w:t>Hadar</w:t>
      </w:r>
      <w:proofErr w:type="spellEnd"/>
      <w:r w:rsidRPr="00585E88">
        <w:rPr>
          <w:rFonts w:asciiTheme="majorBidi" w:hAnsiTheme="majorBidi" w:cstheme="majorBidi"/>
          <w:sz w:val="20"/>
          <w:szCs w:val="20"/>
        </w:rPr>
        <w:t xml:space="preserve"> et al. (2013).</w:t>
      </w:r>
    </w:p>
  </w:footnote>
  <w:footnote w:id="18">
    <w:p w:rsidR="00132BCF" w:rsidRPr="00415059" w:rsidRDefault="00132BCF" w:rsidP="00132BCF">
      <w:pPr>
        <w:pStyle w:val="a3"/>
        <w:bidi w:val="0"/>
        <w:rPr>
          <w:rFonts w:asciiTheme="majorBidi" w:hAnsiTheme="majorBidi" w:cstheme="majorBidi"/>
        </w:rPr>
      </w:pPr>
      <w:r w:rsidRPr="005F044E">
        <w:rPr>
          <w:rStyle w:val="a5"/>
          <w:rFonts w:asciiTheme="majorBidi" w:hAnsiTheme="majorBidi" w:cstheme="majorBidi"/>
        </w:rPr>
        <w:footnoteRef/>
      </w:r>
      <w:proofErr w:type="spellStart"/>
      <w:r w:rsidRPr="005F044E">
        <w:rPr>
          <w:rFonts w:asciiTheme="majorBidi" w:hAnsiTheme="majorBidi" w:cstheme="majorBidi"/>
        </w:rPr>
        <w:t>Drolet</w:t>
      </w:r>
      <w:proofErr w:type="spellEnd"/>
      <w:r w:rsidRPr="005F044E">
        <w:rPr>
          <w:rFonts w:asciiTheme="majorBidi" w:hAnsiTheme="majorBidi" w:cstheme="majorBidi"/>
        </w:rPr>
        <w:t xml:space="preserve"> (2016); for a review, see Lusardi and Mitchell (2014).</w:t>
      </w:r>
    </w:p>
  </w:footnote>
  <w:footnote w:id="19">
    <w:p w:rsidR="00132BCF" w:rsidRPr="006D4637" w:rsidRDefault="00132BCF" w:rsidP="00132BCF">
      <w:pPr>
        <w:bidi w:val="0"/>
        <w:spacing w:after="100" w:afterAutospacing="1" w:line="360" w:lineRule="auto"/>
        <w:rPr>
          <w:rFonts w:asciiTheme="majorBidi" w:hAnsiTheme="majorBidi" w:cstheme="majorBidi"/>
          <w:sz w:val="20"/>
          <w:szCs w:val="20"/>
          <w:rtl/>
        </w:rPr>
      </w:pPr>
      <w:r w:rsidRPr="006D4637">
        <w:rPr>
          <w:rStyle w:val="a5"/>
          <w:rFonts w:asciiTheme="majorBidi" w:hAnsiTheme="majorBidi" w:cstheme="majorBidi"/>
          <w:sz w:val="20"/>
          <w:szCs w:val="20"/>
        </w:rPr>
        <w:footnoteRef/>
      </w:r>
      <w:r w:rsidRPr="006D4637">
        <w:rPr>
          <w:rFonts w:asciiTheme="majorBidi" w:hAnsiTheme="majorBidi" w:cstheme="majorBidi"/>
          <w:sz w:val="20"/>
          <w:szCs w:val="20"/>
          <w:rtl/>
        </w:rPr>
        <w:t xml:space="preserve"> </w:t>
      </w:r>
      <w:r w:rsidRPr="006D4637">
        <w:rPr>
          <w:rFonts w:asciiTheme="majorBidi" w:hAnsiTheme="majorBidi" w:cstheme="majorBidi"/>
          <w:sz w:val="20"/>
          <w:szCs w:val="20"/>
        </w:rPr>
        <w:t>When comparing our results to the results of the Bauer et al. (2018) field experiment, which investigated the effect of letters with different wording on entering a website that provides personal details on individual's retirement savings, the effect we found seems substantial, In Bauer et al. (2018), the most effective letter, which included a financial incentive (small lottery) to enter the website, raised entrances from 3% in the control group to 5%.</w:t>
      </w:r>
      <w:r w:rsidRPr="006D4637">
        <w:rPr>
          <w:rFonts w:asciiTheme="majorBidi" w:hAnsiTheme="majorBidi" w:cstheme="majorBidi"/>
          <w:vanish/>
          <w:color w:val="000000"/>
          <w:sz w:val="20"/>
          <w:szCs w:val="20"/>
        </w:rPr>
        <w:t xml:space="preserve">..,5gavaure of ication  website websites that contain personal financial information(Bauer et al.  </w:t>
      </w:r>
      <w:r w:rsidRPr="006D4637">
        <w:rPr>
          <w:rFonts w:asciiTheme="majorBidi" w:hAnsiTheme="majorBidi" w:cstheme="majorBidi"/>
          <w:vanish/>
          <w:color w:val="000000"/>
          <w:sz w:val="20"/>
          <w:szCs w:val="20"/>
          <w:rtl/>
        </w:rPr>
        <w:t>התשואה</w:t>
      </w:r>
      <w:r w:rsidRPr="006D4637">
        <w:rPr>
          <w:rFonts w:asciiTheme="majorBidi" w:hAnsiTheme="majorBidi" w:cstheme="majorBidi"/>
          <w:vanish/>
          <w:color w:val="000000"/>
          <w:sz w:val="20"/>
          <w:szCs w:val="20"/>
        </w:rPr>
        <w:t xml:space="preserve"> </w:t>
      </w:r>
      <w:r w:rsidRPr="006D4637">
        <w:rPr>
          <w:rFonts w:asciiTheme="majorBidi" w:hAnsiTheme="majorBidi" w:cstheme="majorBidi"/>
          <w:vanish/>
          <w:color w:val="000000"/>
          <w:sz w:val="20"/>
          <w:szCs w:val="20"/>
          <w:rtl/>
        </w:rPr>
        <w:t>השנתית</w:t>
      </w:r>
      <w:r w:rsidRPr="006D4637">
        <w:rPr>
          <w:rFonts w:asciiTheme="majorBidi" w:hAnsiTheme="majorBidi" w:cstheme="majorBidi"/>
          <w:vanish/>
          <w:color w:val="000000"/>
          <w:sz w:val="20"/>
          <w:szCs w:val="20"/>
        </w:rPr>
        <w:t xml:space="preserve"> </w:t>
      </w:r>
      <w:r w:rsidRPr="006D4637">
        <w:rPr>
          <w:rFonts w:asciiTheme="majorBidi" w:hAnsiTheme="majorBidi" w:cstheme="majorBidi"/>
          <w:vanish/>
          <w:color w:val="000000"/>
          <w:sz w:val="20"/>
          <w:szCs w:val="20"/>
          <w:rtl/>
        </w:rPr>
        <w:t>לא</w:t>
      </w:r>
      <w:r w:rsidRPr="006D4637">
        <w:rPr>
          <w:rFonts w:asciiTheme="majorBidi" w:hAnsiTheme="majorBidi" w:cstheme="majorBidi"/>
          <w:vanish/>
          <w:color w:val="000000"/>
          <w:sz w:val="20"/>
          <w:szCs w:val="20"/>
        </w:rPr>
        <w:t xml:space="preserve"> </w:t>
      </w:r>
      <w:r w:rsidRPr="006D4637">
        <w:rPr>
          <w:rFonts w:asciiTheme="majorBidi" w:hAnsiTheme="majorBidi" w:cstheme="majorBidi"/>
          <w:vanish/>
          <w:color w:val="000000"/>
          <w:sz w:val="20"/>
          <w:szCs w:val="20"/>
          <w:rtl/>
        </w:rPr>
        <w:t>נגישה</w:t>
      </w:r>
      <w:r w:rsidRPr="006D4637">
        <w:rPr>
          <w:rFonts w:asciiTheme="majorBidi" w:hAnsiTheme="majorBidi" w:cstheme="majorBidi"/>
          <w:vanish/>
          <w:color w:val="000000"/>
          <w:sz w:val="20"/>
          <w:szCs w:val="20"/>
        </w:rPr>
        <w:t xml:space="preserve"> </w:t>
      </w:r>
      <w:r w:rsidRPr="006D4637">
        <w:rPr>
          <w:rFonts w:asciiTheme="majorBidi" w:hAnsiTheme="majorBidi" w:cstheme="majorBidi"/>
          <w:vanish/>
          <w:color w:val="000000"/>
          <w:sz w:val="20"/>
          <w:szCs w:val="20"/>
          <w:rtl/>
        </w:rPr>
        <w:t>לחוסכי</w:t>
      </w:r>
      <w:r w:rsidRPr="006D4637">
        <w:rPr>
          <w:rFonts w:asciiTheme="majorBidi" w:hAnsiTheme="majorBidi" w:cstheme="majorBidi"/>
          <w:sz w:val="20"/>
          <w:szCs w:val="20"/>
        </w:rPr>
        <w:t xml:space="preserve"> </w:t>
      </w:r>
    </w:p>
    <w:p w:rsidR="00132BCF" w:rsidRPr="006D4637" w:rsidRDefault="00132BCF" w:rsidP="00132BCF">
      <w:pPr>
        <w:pStyle w:val="a3"/>
        <w:bidi w:val="0"/>
        <w:rPr>
          <w:rFonts w:asciiTheme="majorBidi" w:hAnsiTheme="majorBidi" w:cstheme="maj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98D"/>
    <w:multiLevelType w:val="multilevel"/>
    <w:tmpl w:val="A86CB63C"/>
    <w:lvl w:ilvl="0">
      <w:start w:val="1"/>
      <w:numFmt w:val="decimal"/>
      <w:pStyle w:val="2"/>
      <w:lvlText w:val="%1."/>
      <w:lvlJc w:val="left"/>
      <w:pPr>
        <w:ind w:left="720" w:hanging="360"/>
      </w:pPr>
      <w:rPr>
        <w:rFonts w:hint="default"/>
        <w:sz w:val="32"/>
      </w:rPr>
    </w:lvl>
    <w:lvl w:ilvl="1">
      <w:start w:val="1"/>
      <w:numFmt w:val="decimal"/>
      <w:pStyle w:val="3"/>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CF"/>
    <w:rsid w:val="00132BCF"/>
    <w:rsid w:val="002A3715"/>
    <w:rsid w:val="00371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CF"/>
    <w:pPr>
      <w:bidi/>
    </w:pPr>
  </w:style>
  <w:style w:type="paragraph" w:styleId="2">
    <w:name w:val="heading 2"/>
    <w:basedOn w:val="a"/>
    <w:next w:val="a"/>
    <w:link w:val="20"/>
    <w:unhideWhenUsed/>
    <w:qFormat/>
    <w:rsid w:val="00132BCF"/>
    <w:pPr>
      <w:keepNext/>
      <w:keepLines/>
      <w:numPr>
        <w:numId w:val="1"/>
      </w:numPr>
      <w:bidi w:val="0"/>
      <w:spacing w:before="200" w:after="0" w:line="360" w:lineRule="auto"/>
      <w:jc w:val="both"/>
      <w:outlineLvl w:val="1"/>
    </w:pPr>
    <w:rPr>
      <w:rFonts w:asciiTheme="majorBidi" w:eastAsiaTheme="majorEastAsia" w:hAnsiTheme="majorBidi" w:cstheme="majorBidi"/>
      <w:b/>
      <w:bCs/>
      <w:color w:val="4F81BD" w:themeColor="accent1"/>
      <w:sz w:val="32"/>
      <w:szCs w:val="32"/>
    </w:rPr>
  </w:style>
  <w:style w:type="paragraph" w:styleId="3">
    <w:name w:val="heading 3"/>
    <w:basedOn w:val="a"/>
    <w:next w:val="a"/>
    <w:link w:val="30"/>
    <w:uiPriority w:val="9"/>
    <w:unhideWhenUsed/>
    <w:qFormat/>
    <w:rsid w:val="00132BCF"/>
    <w:pPr>
      <w:keepNext/>
      <w:keepLines/>
      <w:numPr>
        <w:ilvl w:val="1"/>
        <w:numId w:val="1"/>
      </w:numPr>
      <w:bidi w:val="0"/>
      <w:spacing w:after="240" w:line="360" w:lineRule="auto"/>
      <w:jc w:val="both"/>
      <w:outlineLvl w:val="2"/>
    </w:pPr>
    <w:rPr>
      <w:rFonts w:asciiTheme="majorBidi" w:eastAsiaTheme="majorEastAsia" w:hAnsiTheme="majorBid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132BCF"/>
    <w:rPr>
      <w:rFonts w:asciiTheme="majorBidi" w:eastAsiaTheme="majorEastAsia" w:hAnsiTheme="majorBidi" w:cstheme="majorBidi"/>
      <w:b/>
      <w:bCs/>
      <w:color w:val="4F81BD" w:themeColor="accent1"/>
      <w:sz w:val="32"/>
      <w:szCs w:val="32"/>
    </w:rPr>
  </w:style>
  <w:style w:type="character" w:customStyle="1" w:styleId="30">
    <w:name w:val="כותרת 3 תו"/>
    <w:basedOn w:val="a0"/>
    <w:link w:val="3"/>
    <w:uiPriority w:val="9"/>
    <w:rsid w:val="00132BCF"/>
    <w:rPr>
      <w:rFonts w:asciiTheme="majorBidi" w:eastAsiaTheme="majorEastAsia" w:hAnsiTheme="majorBidi" w:cstheme="majorBidi"/>
      <w:b/>
      <w:bCs/>
      <w:color w:val="4F81BD" w:themeColor="accent1"/>
      <w:sz w:val="24"/>
      <w:szCs w:val="24"/>
    </w:rPr>
  </w:style>
  <w:style w:type="paragraph" w:customStyle="1" w:styleId="Default">
    <w:name w:val="Default"/>
    <w:rsid w:val="00132B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unhideWhenUsed/>
    <w:rsid w:val="00132BCF"/>
    <w:pPr>
      <w:spacing w:after="0" w:line="240" w:lineRule="auto"/>
    </w:pPr>
    <w:rPr>
      <w:sz w:val="20"/>
      <w:szCs w:val="20"/>
    </w:rPr>
  </w:style>
  <w:style w:type="character" w:customStyle="1" w:styleId="a4">
    <w:name w:val="טקסט הערת שוליים תו"/>
    <w:basedOn w:val="a0"/>
    <w:link w:val="a3"/>
    <w:uiPriority w:val="99"/>
    <w:rsid w:val="00132BCF"/>
    <w:rPr>
      <w:sz w:val="20"/>
      <w:szCs w:val="20"/>
    </w:rPr>
  </w:style>
  <w:style w:type="character" w:styleId="a5">
    <w:name w:val="footnote reference"/>
    <w:basedOn w:val="a0"/>
    <w:uiPriority w:val="99"/>
    <w:semiHidden/>
    <w:unhideWhenUsed/>
    <w:rsid w:val="00132BCF"/>
    <w:rPr>
      <w:vertAlign w:val="superscript"/>
    </w:rPr>
  </w:style>
  <w:style w:type="character" w:styleId="Hyperlink">
    <w:name w:val="Hyperlink"/>
    <w:basedOn w:val="a0"/>
    <w:uiPriority w:val="99"/>
    <w:unhideWhenUsed/>
    <w:rsid w:val="00132BCF"/>
    <w:rPr>
      <w:color w:val="0000FF" w:themeColor="hyperlink"/>
      <w:u w:val="single"/>
    </w:rPr>
  </w:style>
  <w:style w:type="paragraph" w:styleId="a6">
    <w:name w:val="Title"/>
    <w:basedOn w:val="a"/>
    <w:next w:val="a"/>
    <w:link w:val="a7"/>
    <w:qFormat/>
    <w:rsid w:val="00132B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0"/>
    <w:link w:val="a6"/>
    <w:rsid w:val="00132BCF"/>
    <w:rPr>
      <w:rFonts w:asciiTheme="majorHAnsi" w:eastAsiaTheme="majorEastAsia" w:hAnsiTheme="majorHAnsi" w:cstheme="majorBidi"/>
      <w:color w:val="17365D" w:themeColor="text2" w:themeShade="BF"/>
      <w:spacing w:val="5"/>
      <w:kern w:val="28"/>
      <w:sz w:val="52"/>
      <w:szCs w:val="52"/>
    </w:rPr>
  </w:style>
  <w:style w:type="paragraph" w:styleId="a8">
    <w:name w:val="Body Text"/>
    <w:basedOn w:val="a"/>
    <w:link w:val="a9"/>
    <w:uiPriority w:val="99"/>
    <w:semiHidden/>
    <w:rsid w:val="00132BCF"/>
    <w:pPr>
      <w:bidi w:val="0"/>
      <w:spacing w:after="0" w:line="480" w:lineRule="auto"/>
    </w:pPr>
    <w:rPr>
      <w:rFonts w:ascii="Times New Roman" w:eastAsia="Times New Roman" w:hAnsi="Times New Roman" w:cs="Times New Roman"/>
      <w:sz w:val="24"/>
      <w:szCs w:val="24"/>
    </w:rPr>
  </w:style>
  <w:style w:type="character" w:customStyle="1" w:styleId="a9">
    <w:name w:val="גוף טקסט תו"/>
    <w:basedOn w:val="a0"/>
    <w:link w:val="a8"/>
    <w:uiPriority w:val="99"/>
    <w:semiHidden/>
    <w:rsid w:val="00132B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CF"/>
    <w:pPr>
      <w:bidi/>
    </w:pPr>
  </w:style>
  <w:style w:type="paragraph" w:styleId="2">
    <w:name w:val="heading 2"/>
    <w:basedOn w:val="a"/>
    <w:next w:val="a"/>
    <w:link w:val="20"/>
    <w:unhideWhenUsed/>
    <w:qFormat/>
    <w:rsid w:val="00132BCF"/>
    <w:pPr>
      <w:keepNext/>
      <w:keepLines/>
      <w:numPr>
        <w:numId w:val="1"/>
      </w:numPr>
      <w:bidi w:val="0"/>
      <w:spacing w:before="200" w:after="0" w:line="360" w:lineRule="auto"/>
      <w:jc w:val="both"/>
      <w:outlineLvl w:val="1"/>
    </w:pPr>
    <w:rPr>
      <w:rFonts w:asciiTheme="majorBidi" w:eastAsiaTheme="majorEastAsia" w:hAnsiTheme="majorBidi" w:cstheme="majorBidi"/>
      <w:b/>
      <w:bCs/>
      <w:color w:val="4F81BD" w:themeColor="accent1"/>
      <w:sz w:val="32"/>
      <w:szCs w:val="32"/>
    </w:rPr>
  </w:style>
  <w:style w:type="paragraph" w:styleId="3">
    <w:name w:val="heading 3"/>
    <w:basedOn w:val="a"/>
    <w:next w:val="a"/>
    <w:link w:val="30"/>
    <w:uiPriority w:val="9"/>
    <w:unhideWhenUsed/>
    <w:qFormat/>
    <w:rsid w:val="00132BCF"/>
    <w:pPr>
      <w:keepNext/>
      <w:keepLines/>
      <w:numPr>
        <w:ilvl w:val="1"/>
        <w:numId w:val="1"/>
      </w:numPr>
      <w:bidi w:val="0"/>
      <w:spacing w:after="240" w:line="360" w:lineRule="auto"/>
      <w:jc w:val="both"/>
      <w:outlineLvl w:val="2"/>
    </w:pPr>
    <w:rPr>
      <w:rFonts w:asciiTheme="majorBidi" w:eastAsiaTheme="majorEastAsia" w:hAnsiTheme="majorBid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132BCF"/>
    <w:rPr>
      <w:rFonts w:asciiTheme="majorBidi" w:eastAsiaTheme="majorEastAsia" w:hAnsiTheme="majorBidi" w:cstheme="majorBidi"/>
      <w:b/>
      <w:bCs/>
      <w:color w:val="4F81BD" w:themeColor="accent1"/>
      <w:sz w:val="32"/>
      <w:szCs w:val="32"/>
    </w:rPr>
  </w:style>
  <w:style w:type="character" w:customStyle="1" w:styleId="30">
    <w:name w:val="כותרת 3 תו"/>
    <w:basedOn w:val="a0"/>
    <w:link w:val="3"/>
    <w:uiPriority w:val="9"/>
    <w:rsid w:val="00132BCF"/>
    <w:rPr>
      <w:rFonts w:asciiTheme="majorBidi" w:eastAsiaTheme="majorEastAsia" w:hAnsiTheme="majorBidi" w:cstheme="majorBidi"/>
      <w:b/>
      <w:bCs/>
      <w:color w:val="4F81BD" w:themeColor="accent1"/>
      <w:sz w:val="24"/>
      <w:szCs w:val="24"/>
    </w:rPr>
  </w:style>
  <w:style w:type="paragraph" w:customStyle="1" w:styleId="Default">
    <w:name w:val="Default"/>
    <w:rsid w:val="00132B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unhideWhenUsed/>
    <w:rsid w:val="00132BCF"/>
    <w:pPr>
      <w:spacing w:after="0" w:line="240" w:lineRule="auto"/>
    </w:pPr>
    <w:rPr>
      <w:sz w:val="20"/>
      <w:szCs w:val="20"/>
    </w:rPr>
  </w:style>
  <w:style w:type="character" w:customStyle="1" w:styleId="a4">
    <w:name w:val="טקסט הערת שוליים תו"/>
    <w:basedOn w:val="a0"/>
    <w:link w:val="a3"/>
    <w:uiPriority w:val="99"/>
    <w:rsid w:val="00132BCF"/>
    <w:rPr>
      <w:sz w:val="20"/>
      <w:szCs w:val="20"/>
    </w:rPr>
  </w:style>
  <w:style w:type="character" w:styleId="a5">
    <w:name w:val="footnote reference"/>
    <w:basedOn w:val="a0"/>
    <w:uiPriority w:val="99"/>
    <w:semiHidden/>
    <w:unhideWhenUsed/>
    <w:rsid w:val="00132BCF"/>
    <w:rPr>
      <w:vertAlign w:val="superscript"/>
    </w:rPr>
  </w:style>
  <w:style w:type="character" w:styleId="Hyperlink">
    <w:name w:val="Hyperlink"/>
    <w:basedOn w:val="a0"/>
    <w:uiPriority w:val="99"/>
    <w:unhideWhenUsed/>
    <w:rsid w:val="00132BCF"/>
    <w:rPr>
      <w:color w:val="0000FF" w:themeColor="hyperlink"/>
      <w:u w:val="single"/>
    </w:rPr>
  </w:style>
  <w:style w:type="paragraph" w:styleId="a6">
    <w:name w:val="Title"/>
    <w:basedOn w:val="a"/>
    <w:next w:val="a"/>
    <w:link w:val="a7"/>
    <w:qFormat/>
    <w:rsid w:val="00132B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0"/>
    <w:link w:val="a6"/>
    <w:rsid w:val="00132BCF"/>
    <w:rPr>
      <w:rFonts w:asciiTheme="majorHAnsi" w:eastAsiaTheme="majorEastAsia" w:hAnsiTheme="majorHAnsi" w:cstheme="majorBidi"/>
      <w:color w:val="17365D" w:themeColor="text2" w:themeShade="BF"/>
      <w:spacing w:val="5"/>
      <w:kern w:val="28"/>
      <w:sz w:val="52"/>
      <w:szCs w:val="52"/>
    </w:rPr>
  </w:style>
  <w:style w:type="paragraph" w:styleId="a8">
    <w:name w:val="Body Text"/>
    <w:basedOn w:val="a"/>
    <w:link w:val="a9"/>
    <w:uiPriority w:val="99"/>
    <w:semiHidden/>
    <w:rsid w:val="00132BCF"/>
    <w:pPr>
      <w:bidi w:val="0"/>
      <w:spacing w:after="0" w:line="480" w:lineRule="auto"/>
    </w:pPr>
    <w:rPr>
      <w:rFonts w:ascii="Times New Roman" w:eastAsia="Times New Roman" w:hAnsi="Times New Roman" w:cs="Times New Roman"/>
      <w:sz w:val="24"/>
      <w:szCs w:val="24"/>
    </w:rPr>
  </w:style>
  <w:style w:type="character" w:customStyle="1" w:styleId="a9">
    <w:name w:val="גוף טקסט תו"/>
    <w:basedOn w:val="a0"/>
    <w:link w:val="a8"/>
    <w:uiPriority w:val="99"/>
    <w:semiHidden/>
    <w:rsid w:val="00132B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orlysade@huji.ac.il" TargetMode="External"/><Relationship Id="rId1" Type="http://schemas.openxmlformats.org/officeDocument/2006/relationships/hyperlink" Target="mailto:maya.haran@mail.huji.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3453</Words>
  <Characters>17270</Characters>
  <Application>Microsoft Office Word</Application>
  <DocSecurity>0</DocSecurity>
  <Lines>143</Lines>
  <Paragraphs>41</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מאיה הרן רוזן</dc:creator>
  <cp:lastModifiedBy>מאיה הרן רוזן</cp:lastModifiedBy>
  <cp:revision>1</cp:revision>
  <dcterms:created xsi:type="dcterms:W3CDTF">2019-03-06T12:11:00Z</dcterms:created>
  <dcterms:modified xsi:type="dcterms:W3CDTF">2019-03-06T12:12:00Z</dcterms:modified>
</cp:coreProperties>
</file>